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9EA" w:rsidRDefault="003319EA" w:rsidP="00A128CB">
      <w:pPr>
        <w:spacing w:after="0" w:line="240" w:lineRule="auto"/>
        <w:jc w:val="center"/>
        <w:rPr>
          <w:rFonts w:ascii="Arial" w:hAnsi="Arial" w:cs="Arial"/>
          <w:b/>
          <w:color w:val="000000"/>
          <w:sz w:val="21"/>
          <w:szCs w:val="21"/>
          <w:shd w:val="clear" w:color="auto" w:fill="FFFFFF"/>
        </w:rPr>
      </w:pPr>
      <w:bookmarkStart w:id="0" w:name="_GoBack"/>
      <w:bookmarkEnd w:id="0"/>
    </w:p>
    <w:p w:rsidR="003319EA" w:rsidRDefault="003319EA" w:rsidP="00A128CB">
      <w:pPr>
        <w:spacing w:after="0" w:line="240" w:lineRule="auto"/>
        <w:jc w:val="center"/>
        <w:rPr>
          <w:rFonts w:ascii="Arial" w:hAnsi="Arial" w:cs="Arial"/>
          <w:b/>
          <w:color w:val="000000"/>
          <w:sz w:val="21"/>
          <w:szCs w:val="21"/>
          <w:shd w:val="clear" w:color="auto" w:fill="FFFFFF"/>
        </w:rPr>
      </w:pPr>
    </w:p>
    <w:p w:rsidR="003319EA" w:rsidRDefault="003319EA" w:rsidP="00A128CB">
      <w:pPr>
        <w:spacing w:after="0" w:line="240" w:lineRule="auto"/>
        <w:jc w:val="center"/>
        <w:rPr>
          <w:rFonts w:ascii="Arial" w:hAnsi="Arial" w:cs="Arial"/>
          <w:b/>
          <w:color w:val="000000"/>
          <w:sz w:val="21"/>
          <w:szCs w:val="21"/>
          <w:shd w:val="clear" w:color="auto" w:fill="FFFFFF"/>
        </w:rPr>
      </w:pPr>
    </w:p>
    <w:p w:rsidR="003319EA" w:rsidRDefault="003319EA" w:rsidP="00A128CB">
      <w:pPr>
        <w:spacing w:after="0" w:line="240" w:lineRule="auto"/>
        <w:jc w:val="center"/>
        <w:rPr>
          <w:rFonts w:ascii="Arial" w:hAnsi="Arial" w:cs="Arial"/>
          <w:b/>
          <w:color w:val="000000"/>
          <w:sz w:val="21"/>
          <w:szCs w:val="21"/>
          <w:shd w:val="clear" w:color="auto" w:fill="FFFFFF"/>
        </w:rPr>
      </w:pPr>
    </w:p>
    <w:p w:rsidR="003319EA" w:rsidRDefault="003319EA" w:rsidP="00A128CB">
      <w:pPr>
        <w:spacing w:after="0" w:line="240" w:lineRule="auto"/>
        <w:jc w:val="center"/>
        <w:rPr>
          <w:rFonts w:ascii="Arial" w:hAnsi="Arial" w:cs="Arial"/>
          <w:b/>
          <w:color w:val="000000"/>
          <w:sz w:val="21"/>
          <w:szCs w:val="21"/>
          <w:shd w:val="clear" w:color="auto" w:fill="FFFFFF"/>
        </w:rPr>
      </w:pPr>
    </w:p>
    <w:p w:rsidR="003319EA" w:rsidRDefault="003319EA" w:rsidP="00A128CB">
      <w:pPr>
        <w:spacing w:after="0" w:line="240" w:lineRule="auto"/>
        <w:jc w:val="center"/>
        <w:rPr>
          <w:rFonts w:ascii="Arial" w:hAnsi="Arial" w:cs="Arial"/>
          <w:b/>
          <w:color w:val="000000"/>
          <w:sz w:val="21"/>
          <w:szCs w:val="21"/>
          <w:shd w:val="clear" w:color="auto" w:fill="FFFFFF"/>
        </w:rPr>
      </w:pPr>
    </w:p>
    <w:p w:rsidR="00A128CB" w:rsidRDefault="008A224C" w:rsidP="00A128CB">
      <w:pPr>
        <w:spacing w:after="0" w:line="240" w:lineRule="auto"/>
        <w:jc w:val="center"/>
        <w:rPr>
          <w:rFonts w:ascii="Arial" w:hAnsi="Arial" w:cs="Arial"/>
          <w:b/>
          <w:color w:val="000000"/>
          <w:sz w:val="21"/>
          <w:szCs w:val="21"/>
          <w:shd w:val="clear" w:color="auto" w:fill="FFFFFF"/>
        </w:rPr>
      </w:pPr>
      <w:r w:rsidRPr="001F209C">
        <w:rPr>
          <w:rFonts w:ascii="Arial" w:hAnsi="Arial" w:cs="Arial"/>
          <w:b/>
          <w:color w:val="000000"/>
          <w:sz w:val="21"/>
          <w:szCs w:val="21"/>
          <w:shd w:val="clear" w:color="auto" w:fill="FFFFFF"/>
        </w:rPr>
        <w:t xml:space="preserve">El Aporte por Regulación y la Fiscalización Ambiental. </w:t>
      </w:r>
    </w:p>
    <w:p w:rsidR="00A223B2" w:rsidRDefault="008A224C" w:rsidP="00A128CB">
      <w:pPr>
        <w:spacing w:after="0" w:line="240" w:lineRule="auto"/>
        <w:jc w:val="center"/>
        <w:rPr>
          <w:rFonts w:ascii="Arial" w:hAnsi="Arial" w:cs="Arial"/>
          <w:b/>
          <w:color w:val="000000"/>
          <w:sz w:val="21"/>
          <w:szCs w:val="21"/>
          <w:shd w:val="clear" w:color="auto" w:fill="FFFFFF"/>
        </w:rPr>
      </w:pPr>
      <w:r w:rsidRPr="001F209C">
        <w:rPr>
          <w:rFonts w:ascii="Arial" w:hAnsi="Arial" w:cs="Arial"/>
          <w:b/>
          <w:color w:val="000000"/>
          <w:sz w:val="21"/>
          <w:szCs w:val="21"/>
          <w:shd w:val="clear" w:color="auto" w:fill="FFFFFF"/>
        </w:rPr>
        <w:t>Equilibrio y armonía que nos lleve hacia el Desarrollo Sostenible</w:t>
      </w:r>
    </w:p>
    <w:p w:rsidR="00D84ADA" w:rsidRDefault="00D84ADA" w:rsidP="00A128CB">
      <w:pPr>
        <w:spacing w:after="0" w:line="240" w:lineRule="auto"/>
        <w:jc w:val="center"/>
        <w:rPr>
          <w:rFonts w:ascii="Arial" w:hAnsi="Arial" w:cs="Arial"/>
          <w:b/>
          <w:color w:val="000000"/>
          <w:sz w:val="21"/>
          <w:szCs w:val="21"/>
          <w:shd w:val="clear" w:color="auto" w:fill="FFFFFF"/>
        </w:rPr>
      </w:pPr>
    </w:p>
    <w:p w:rsidR="00774557" w:rsidRDefault="00774557" w:rsidP="00A128CB">
      <w:pPr>
        <w:spacing w:after="0" w:line="240" w:lineRule="auto"/>
        <w:jc w:val="center"/>
        <w:rPr>
          <w:rFonts w:ascii="Arial" w:hAnsi="Arial" w:cs="Arial"/>
          <w:b/>
          <w:color w:val="000000"/>
          <w:sz w:val="21"/>
          <w:szCs w:val="21"/>
          <w:shd w:val="clear" w:color="auto" w:fill="FFFFFF"/>
        </w:rPr>
      </w:pPr>
    </w:p>
    <w:p w:rsidR="00D84ADA" w:rsidRDefault="00D84ADA" w:rsidP="00D84ADA">
      <w:pPr>
        <w:spacing w:after="0" w:line="240" w:lineRule="auto"/>
        <w:jc w:val="right"/>
        <w:rPr>
          <w:rFonts w:ascii="Arial" w:hAnsi="Arial" w:cs="Arial"/>
          <w:b/>
          <w:color w:val="000000"/>
          <w:sz w:val="21"/>
          <w:szCs w:val="21"/>
          <w:shd w:val="clear" w:color="auto" w:fill="FFFFFF"/>
        </w:rPr>
      </w:pPr>
      <w:r>
        <w:rPr>
          <w:rFonts w:ascii="Arial" w:hAnsi="Arial" w:cs="Arial"/>
          <w:b/>
          <w:color w:val="000000"/>
          <w:sz w:val="21"/>
          <w:szCs w:val="21"/>
          <w:shd w:val="clear" w:color="auto" w:fill="FFFFFF"/>
        </w:rPr>
        <w:t>AUTOR: NATALIA ANDREA ROYLE</w:t>
      </w:r>
    </w:p>
    <w:p w:rsidR="00A128CB" w:rsidRDefault="00A128CB" w:rsidP="00A128CB">
      <w:pPr>
        <w:spacing w:after="0" w:line="240" w:lineRule="auto"/>
        <w:jc w:val="center"/>
        <w:rPr>
          <w:rFonts w:ascii="Arial" w:hAnsi="Arial" w:cs="Arial"/>
          <w:b/>
          <w:color w:val="000000"/>
          <w:sz w:val="21"/>
          <w:szCs w:val="21"/>
          <w:shd w:val="clear" w:color="auto" w:fill="FFFFFF"/>
        </w:rPr>
      </w:pPr>
    </w:p>
    <w:p w:rsidR="00A208B4" w:rsidRDefault="00FB29E4" w:rsidP="00FB29E4">
      <w:pPr>
        <w:jc w:val="both"/>
        <w:rPr>
          <w:rFonts w:ascii="Arial" w:hAnsi="Arial" w:cs="Arial"/>
          <w:sz w:val="21"/>
          <w:szCs w:val="21"/>
        </w:rPr>
      </w:pPr>
      <w:r w:rsidRPr="001F209C">
        <w:rPr>
          <w:rFonts w:ascii="Arial" w:hAnsi="Arial" w:cs="Arial"/>
          <w:sz w:val="21"/>
          <w:szCs w:val="21"/>
        </w:rPr>
        <w:t>Ante la sociedad y la ciudadanía, deben existir organizaciones que no sólo cumplan con su función desde el punto de vista económico</w:t>
      </w:r>
      <w:r w:rsidR="00A208B4">
        <w:rPr>
          <w:rFonts w:ascii="Arial" w:hAnsi="Arial" w:cs="Arial"/>
          <w:sz w:val="21"/>
          <w:szCs w:val="21"/>
        </w:rPr>
        <w:t>,</w:t>
      </w:r>
      <w:r w:rsidR="00064672">
        <w:rPr>
          <w:rFonts w:ascii="Arial" w:hAnsi="Arial" w:cs="Arial"/>
          <w:sz w:val="21"/>
          <w:szCs w:val="21"/>
        </w:rPr>
        <w:t xml:space="preserve"> sino también desde un punto de vista social. E</w:t>
      </w:r>
      <w:r w:rsidR="00A208B4">
        <w:rPr>
          <w:rFonts w:ascii="Arial" w:hAnsi="Arial" w:cs="Arial"/>
          <w:sz w:val="21"/>
          <w:szCs w:val="21"/>
        </w:rPr>
        <w:t xml:space="preserve">n ese sentido el “moderno” enfoque de la fiscalización ambiental busca que el sector empresarial se vincule con la población, procurando un adecuado </w:t>
      </w:r>
      <w:r w:rsidR="00064672">
        <w:rPr>
          <w:rFonts w:ascii="Arial" w:hAnsi="Arial" w:cs="Arial"/>
          <w:sz w:val="21"/>
          <w:szCs w:val="21"/>
        </w:rPr>
        <w:t>cuidado al medio ambiente. E</w:t>
      </w:r>
      <w:r w:rsidR="00A208B4" w:rsidRPr="00140E2C">
        <w:rPr>
          <w:rFonts w:ascii="Arial" w:hAnsi="Arial" w:cs="Arial"/>
          <w:sz w:val="21"/>
          <w:szCs w:val="21"/>
        </w:rPr>
        <w:t>n ese contexto</w:t>
      </w:r>
      <w:r w:rsidR="00064672">
        <w:rPr>
          <w:rFonts w:ascii="Arial" w:hAnsi="Arial" w:cs="Arial"/>
          <w:sz w:val="21"/>
          <w:szCs w:val="21"/>
        </w:rPr>
        <w:t xml:space="preserve"> de ideas</w:t>
      </w:r>
      <w:r w:rsidR="00A208B4" w:rsidRPr="00140E2C">
        <w:rPr>
          <w:rFonts w:ascii="Arial" w:hAnsi="Arial" w:cs="Arial"/>
          <w:sz w:val="21"/>
          <w:szCs w:val="21"/>
        </w:rPr>
        <w:t xml:space="preserve"> </w:t>
      </w:r>
      <w:r w:rsidR="00A208B4" w:rsidRPr="00FA0EE4">
        <w:rPr>
          <w:rFonts w:ascii="Arial" w:hAnsi="Arial" w:cs="Arial"/>
          <w:sz w:val="21"/>
          <w:szCs w:val="21"/>
        </w:rPr>
        <w:t>e</w:t>
      </w:r>
      <w:r w:rsidR="00064672">
        <w:rPr>
          <w:rFonts w:ascii="Arial" w:hAnsi="Arial" w:cs="Arial"/>
          <w:sz w:val="21"/>
          <w:szCs w:val="21"/>
        </w:rPr>
        <w:t>s que e</w:t>
      </w:r>
      <w:r w:rsidR="00A208B4" w:rsidRPr="00FA0EE4">
        <w:rPr>
          <w:rFonts w:ascii="Arial" w:hAnsi="Arial" w:cs="Arial"/>
          <w:sz w:val="21"/>
          <w:szCs w:val="21"/>
        </w:rPr>
        <w:t>l O</w:t>
      </w:r>
      <w:r w:rsidR="00A208B4">
        <w:rPr>
          <w:rFonts w:ascii="Arial" w:hAnsi="Arial" w:cs="Arial"/>
          <w:sz w:val="21"/>
          <w:szCs w:val="21"/>
        </w:rPr>
        <w:t>rganismo de Evaluación y Fiscalización Ambiental - OEFA</w:t>
      </w:r>
      <w:r w:rsidR="00A208B4">
        <w:rPr>
          <w:rStyle w:val="Refdenotaalpie"/>
          <w:rFonts w:ascii="Arial" w:hAnsi="Arial" w:cs="Arial"/>
          <w:sz w:val="21"/>
          <w:szCs w:val="21"/>
        </w:rPr>
        <w:footnoteReference w:id="1"/>
      </w:r>
      <w:r w:rsidR="00A208B4">
        <w:rPr>
          <w:rFonts w:ascii="Arial" w:hAnsi="Arial" w:cs="Arial"/>
          <w:sz w:val="21"/>
          <w:szCs w:val="21"/>
        </w:rPr>
        <w:t>,</w:t>
      </w:r>
      <w:r w:rsidR="00A208B4" w:rsidRPr="00FA0EE4">
        <w:rPr>
          <w:rFonts w:ascii="Arial" w:hAnsi="Arial" w:cs="Arial"/>
          <w:sz w:val="21"/>
          <w:szCs w:val="21"/>
        </w:rPr>
        <w:t xml:space="preserve"> a través de la </w:t>
      </w:r>
      <w:r w:rsidR="00A208B4">
        <w:rPr>
          <w:rFonts w:ascii="Arial" w:hAnsi="Arial" w:cs="Arial"/>
          <w:sz w:val="21"/>
          <w:szCs w:val="21"/>
        </w:rPr>
        <w:t xml:space="preserve">adecuada </w:t>
      </w:r>
      <w:r w:rsidR="00A208B4" w:rsidRPr="00FA0EE4">
        <w:rPr>
          <w:rFonts w:ascii="Arial" w:hAnsi="Arial" w:cs="Arial"/>
          <w:sz w:val="21"/>
          <w:szCs w:val="21"/>
        </w:rPr>
        <w:t>implementación de</w:t>
      </w:r>
      <w:r w:rsidR="00A208B4">
        <w:rPr>
          <w:rFonts w:ascii="Arial" w:hAnsi="Arial" w:cs="Arial"/>
          <w:sz w:val="21"/>
          <w:szCs w:val="21"/>
        </w:rPr>
        <w:t xml:space="preserve"> </w:t>
      </w:r>
      <w:r w:rsidR="00A208B4" w:rsidRPr="00FA0EE4">
        <w:rPr>
          <w:rFonts w:ascii="Arial" w:hAnsi="Arial" w:cs="Arial"/>
          <w:sz w:val="21"/>
          <w:szCs w:val="21"/>
        </w:rPr>
        <w:t>l</w:t>
      </w:r>
      <w:r w:rsidR="00A208B4">
        <w:rPr>
          <w:rFonts w:ascii="Arial" w:hAnsi="Arial" w:cs="Arial"/>
          <w:sz w:val="21"/>
          <w:szCs w:val="21"/>
        </w:rPr>
        <w:t>a contribución</w:t>
      </w:r>
      <w:r w:rsidR="000E176E">
        <w:rPr>
          <w:rStyle w:val="Refdenotaalpie"/>
          <w:rFonts w:ascii="Arial" w:hAnsi="Arial" w:cs="Arial"/>
          <w:sz w:val="21"/>
          <w:szCs w:val="21"/>
        </w:rPr>
        <w:footnoteReference w:id="2"/>
      </w:r>
      <w:r w:rsidR="00A208B4">
        <w:rPr>
          <w:rFonts w:ascii="Arial" w:hAnsi="Arial" w:cs="Arial"/>
          <w:sz w:val="21"/>
          <w:szCs w:val="21"/>
        </w:rPr>
        <w:t xml:space="preserve"> denominada </w:t>
      </w:r>
      <w:r w:rsidR="00A208B4" w:rsidRPr="00FA0EE4">
        <w:rPr>
          <w:rFonts w:ascii="Arial" w:hAnsi="Arial" w:cs="Arial"/>
          <w:sz w:val="21"/>
          <w:szCs w:val="21"/>
        </w:rPr>
        <w:t xml:space="preserve">Aporte por Regulación busca orientar </w:t>
      </w:r>
      <w:r w:rsidR="0093581C">
        <w:rPr>
          <w:rFonts w:ascii="Arial" w:hAnsi="Arial" w:cs="Arial"/>
          <w:sz w:val="21"/>
          <w:szCs w:val="21"/>
        </w:rPr>
        <w:t>ese</w:t>
      </w:r>
      <w:r w:rsidR="00A208B4">
        <w:rPr>
          <w:rFonts w:ascii="Arial" w:hAnsi="Arial" w:cs="Arial"/>
          <w:sz w:val="21"/>
          <w:szCs w:val="21"/>
        </w:rPr>
        <w:t xml:space="preserve"> equilibrio</w:t>
      </w:r>
      <w:r w:rsidR="00A208B4" w:rsidRPr="00FA0EE4">
        <w:rPr>
          <w:rFonts w:ascii="Arial" w:hAnsi="Arial" w:cs="Arial"/>
          <w:sz w:val="21"/>
          <w:szCs w:val="21"/>
        </w:rPr>
        <w:t>.</w:t>
      </w:r>
    </w:p>
    <w:p w:rsidR="0064509A" w:rsidRPr="008C5BCF" w:rsidRDefault="0064509A" w:rsidP="0064509A">
      <w:pPr>
        <w:tabs>
          <w:tab w:val="left" w:pos="567"/>
        </w:tabs>
        <w:autoSpaceDE w:val="0"/>
        <w:autoSpaceDN w:val="0"/>
        <w:adjustRightInd w:val="0"/>
        <w:contextualSpacing/>
        <w:jc w:val="both"/>
        <w:rPr>
          <w:rFonts w:ascii="Arial" w:eastAsia="Calibri" w:hAnsi="Arial" w:cs="Arial"/>
          <w:sz w:val="21"/>
          <w:szCs w:val="21"/>
        </w:rPr>
      </w:pPr>
      <w:r w:rsidRPr="008C5BCF">
        <w:rPr>
          <w:rFonts w:ascii="Arial" w:eastAsia="Calibri" w:hAnsi="Arial" w:cs="Arial"/>
          <w:sz w:val="21"/>
          <w:szCs w:val="21"/>
        </w:rPr>
        <w:t xml:space="preserve">La </w:t>
      </w:r>
      <w:r w:rsidRPr="008C5BCF">
        <w:rPr>
          <w:rFonts w:ascii="Arial" w:hAnsi="Arial" w:cs="Arial"/>
          <w:sz w:val="21"/>
          <w:szCs w:val="21"/>
        </w:rPr>
        <w:t>Cuadragésima Octava Disposición Complementaria Final</w:t>
      </w:r>
      <w:r>
        <w:rPr>
          <w:rFonts w:ascii="Arial" w:hAnsi="Arial" w:cs="Arial"/>
          <w:sz w:val="21"/>
          <w:szCs w:val="21"/>
        </w:rPr>
        <w:t xml:space="preserve"> de la </w:t>
      </w:r>
      <w:r w:rsidRPr="008C5BCF">
        <w:rPr>
          <w:rFonts w:ascii="Arial" w:eastAsia="Calibri" w:hAnsi="Arial" w:cs="Arial"/>
          <w:sz w:val="21"/>
          <w:szCs w:val="21"/>
        </w:rPr>
        <w:t>Ley N°</w:t>
      </w:r>
      <w:r w:rsidRPr="00184A39">
        <w:rPr>
          <w:rFonts w:ascii="Arial" w:eastAsia="Calibri" w:hAnsi="Arial" w:cs="Arial"/>
          <w:sz w:val="21"/>
          <w:szCs w:val="21"/>
        </w:rPr>
        <w:t> 29951</w:t>
      </w:r>
      <w:r w:rsidRPr="00184A39">
        <w:rPr>
          <w:rFonts w:ascii="Arial" w:hAnsi="Arial" w:cs="Arial"/>
          <w:sz w:val="21"/>
          <w:szCs w:val="21"/>
          <w:vertAlign w:val="superscript"/>
        </w:rPr>
        <w:footnoteReference w:id="3"/>
      </w:r>
      <w:r>
        <w:rPr>
          <w:rFonts w:ascii="Arial" w:eastAsia="Calibri" w:hAnsi="Arial" w:cs="Arial"/>
          <w:sz w:val="21"/>
          <w:szCs w:val="21"/>
        </w:rPr>
        <w:t xml:space="preserve"> </w:t>
      </w:r>
      <w:r w:rsidRPr="008C5BCF">
        <w:rPr>
          <w:rFonts w:ascii="Arial" w:eastAsia="Calibri" w:hAnsi="Arial" w:cs="Arial"/>
          <w:sz w:val="21"/>
          <w:szCs w:val="21"/>
        </w:rPr>
        <w:t xml:space="preserve">- Ley de Presupuesto del Sector Público para el Año Fiscal 2013 y </w:t>
      </w:r>
      <w:r w:rsidRPr="008C5BCF">
        <w:rPr>
          <w:rFonts w:ascii="Arial" w:hAnsi="Arial" w:cs="Arial"/>
          <w:noProof/>
          <w:sz w:val="21"/>
          <w:szCs w:val="21"/>
        </w:rPr>
        <w:t xml:space="preserve">la </w:t>
      </w:r>
      <w:r w:rsidRPr="008C5BCF">
        <w:rPr>
          <w:rFonts w:ascii="Arial" w:hAnsi="Arial" w:cs="Arial"/>
          <w:sz w:val="21"/>
          <w:szCs w:val="21"/>
        </w:rPr>
        <w:t>Tercera Disposición Complementaria Final</w:t>
      </w:r>
      <w:r w:rsidRPr="008C5BCF">
        <w:rPr>
          <w:rFonts w:ascii="Arial" w:eastAsia="Calibri" w:hAnsi="Arial" w:cs="Arial"/>
          <w:sz w:val="21"/>
          <w:szCs w:val="21"/>
        </w:rPr>
        <w:t xml:space="preserve"> de la Ley N° </w:t>
      </w:r>
      <w:r w:rsidRPr="00184A39">
        <w:rPr>
          <w:rFonts w:ascii="Arial" w:eastAsia="Calibri" w:hAnsi="Arial" w:cs="Arial"/>
          <w:sz w:val="21"/>
          <w:szCs w:val="21"/>
        </w:rPr>
        <w:t>30011</w:t>
      </w:r>
      <w:r w:rsidRPr="00184A39">
        <w:rPr>
          <w:rFonts w:ascii="Arial" w:hAnsi="Arial" w:cs="Arial"/>
          <w:sz w:val="21"/>
          <w:szCs w:val="21"/>
          <w:vertAlign w:val="superscript"/>
        </w:rPr>
        <w:footnoteReference w:id="4"/>
      </w:r>
      <w:r w:rsidRPr="008C5BCF">
        <w:rPr>
          <w:rFonts w:ascii="Arial" w:eastAsia="Calibri" w:hAnsi="Arial" w:cs="Arial"/>
          <w:sz w:val="21"/>
          <w:szCs w:val="21"/>
        </w:rPr>
        <w:t xml:space="preserve"> - Ley que modifica la Ley N° 29325 (Ley del Sistema Nacional de Evaluación y Fiscalización Ambiental) establecen que las funciones de supervisión y fiscalización en materia ambiental, relacionadas a las actividades de energía y minería que desarrolla el OEFA, se financian con cargo al Aporte por Regulación a que se </w:t>
      </w:r>
      <w:r w:rsidRPr="008C5BCF">
        <w:rPr>
          <w:rFonts w:ascii="Arial" w:eastAsia="Calibri" w:hAnsi="Arial" w:cs="Arial"/>
          <w:sz w:val="21"/>
          <w:szCs w:val="21"/>
        </w:rPr>
        <w:lastRenderedPageBreak/>
        <w:t>refiere el Artículo 10° de la Ley N° 27332</w:t>
      </w:r>
      <w:r w:rsidRPr="001279D1">
        <w:rPr>
          <w:rStyle w:val="Refdenotaalpie"/>
          <w:rFonts w:ascii="Arial" w:eastAsia="Calibri" w:hAnsi="Arial" w:cs="Arial"/>
          <w:sz w:val="21"/>
          <w:szCs w:val="21"/>
        </w:rPr>
        <w:footnoteReference w:id="5"/>
      </w:r>
      <w:r w:rsidRPr="008C5BCF">
        <w:rPr>
          <w:rFonts w:ascii="Arial" w:eastAsia="Calibri" w:hAnsi="Arial" w:cs="Arial"/>
          <w:sz w:val="21"/>
          <w:szCs w:val="21"/>
        </w:rPr>
        <w:t> </w:t>
      </w:r>
      <w:r>
        <w:rPr>
          <w:rFonts w:ascii="Arial" w:eastAsia="Calibri" w:hAnsi="Arial" w:cs="Arial"/>
          <w:sz w:val="21"/>
          <w:szCs w:val="21"/>
        </w:rPr>
        <w:t>-</w:t>
      </w:r>
      <w:r w:rsidRPr="008C5BCF">
        <w:rPr>
          <w:rFonts w:ascii="Arial" w:eastAsia="Calibri" w:hAnsi="Arial" w:cs="Arial"/>
          <w:sz w:val="21"/>
          <w:szCs w:val="21"/>
        </w:rPr>
        <w:t xml:space="preserve"> Ley Marco de los Organismos Reguladores de la Inversión Privada en los Servicios Públicos, que financia las actividades de supervisión y fiscalización del Organismo Supervisor de la Inversión en Energía y Min</w:t>
      </w:r>
      <w:r>
        <w:rPr>
          <w:rFonts w:ascii="Arial" w:eastAsia="Calibri" w:hAnsi="Arial" w:cs="Arial"/>
          <w:sz w:val="21"/>
          <w:szCs w:val="21"/>
        </w:rPr>
        <w:t>ería -</w:t>
      </w:r>
      <w:r w:rsidRPr="008C5BCF">
        <w:rPr>
          <w:rFonts w:ascii="Arial" w:eastAsia="Calibri" w:hAnsi="Arial" w:cs="Arial"/>
          <w:sz w:val="21"/>
          <w:szCs w:val="21"/>
        </w:rPr>
        <w:t xml:space="preserve"> OSINERGMIN.</w:t>
      </w:r>
    </w:p>
    <w:p w:rsidR="00BF56C5" w:rsidRDefault="00BF56C5" w:rsidP="00CD0E35">
      <w:pPr>
        <w:tabs>
          <w:tab w:val="left" w:pos="567"/>
        </w:tabs>
        <w:autoSpaceDE w:val="0"/>
        <w:autoSpaceDN w:val="0"/>
        <w:adjustRightInd w:val="0"/>
        <w:contextualSpacing/>
        <w:jc w:val="both"/>
        <w:rPr>
          <w:rFonts w:ascii="Arial" w:eastAsia="Calibri" w:hAnsi="Arial" w:cs="Arial"/>
          <w:sz w:val="21"/>
          <w:szCs w:val="21"/>
        </w:rPr>
      </w:pPr>
    </w:p>
    <w:p w:rsidR="00CD0E35" w:rsidRDefault="0093581C" w:rsidP="00CD0E35">
      <w:pPr>
        <w:tabs>
          <w:tab w:val="left" w:pos="567"/>
        </w:tabs>
        <w:autoSpaceDE w:val="0"/>
        <w:autoSpaceDN w:val="0"/>
        <w:adjustRightInd w:val="0"/>
        <w:contextualSpacing/>
        <w:jc w:val="both"/>
        <w:rPr>
          <w:rFonts w:ascii="Arial" w:eastAsia="Calibri" w:hAnsi="Arial" w:cs="Arial"/>
          <w:sz w:val="21"/>
          <w:szCs w:val="21"/>
        </w:rPr>
      </w:pPr>
      <w:r>
        <w:rPr>
          <w:rFonts w:ascii="Arial" w:eastAsia="Calibri" w:hAnsi="Arial" w:cs="Arial"/>
          <w:sz w:val="21"/>
          <w:szCs w:val="21"/>
        </w:rPr>
        <w:t xml:space="preserve">El Aporte por Regulación que corresponde </w:t>
      </w:r>
      <w:r w:rsidR="00CD0E35" w:rsidRPr="008C5BCF">
        <w:rPr>
          <w:rFonts w:ascii="Arial" w:eastAsia="Calibri" w:hAnsi="Arial" w:cs="Arial"/>
          <w:sz w:val="21"/>
          <w:szCs w:val="21"/>
        </w:rPr>
        <w:t xml:space="preserve">al OEFA, constituyen ingresos propios de </w:t>
      </w:r>
      <w:r>
        <w:rPr>
          <w:rFonts w:ascii="Arial" w:eastAsia="Calibri" w:hAnsi="Arial" w:cs="Arial"/>
          <w:sz w:val="21"/>
          <w:szCs w:val="21"/>
        </w:rPr>
        <w:t xml:space="preserve">dicha </w:t>
      </w:r>
      <w:r w:rsidR="00CD0E35" w:rsidRPr="008C5BCF">
        <w:rPr>
          <w:rFonts w:ascii="Arial" w:eastAsia="Calibri" w:hAnsi="Arial" w:cs="Arial"/>
          <w:sz w:val="21"/>
          <w:szCs w:val="21"/>
        </w:rPr>
        <w:t xml:space="preserve">entidad, </w:t>
      </w:r>
      <w:r>
        <w:rPr>
          <w:rFonts w:ascii="Arial" w:eastAsia="Calibri" w:hAnsi="Arial" w:cs="Arial"/>
          <w:sz w:val="21"/>
          <w:szCs w:val="21"/>
        </w:rPr>
        <w:t>y deberán</w:t>
      </w:r>
      <w:r w:rsidR="00CD0E35" w:rsidRPr="008C5BCF">
        <w:rPr>
          <w:rFonts w:ascii="Arial" w:eastAsia="Calibri" w:hAnsi="Arial" w:cs="Arial"/>
          <w:sz w:val="21"/>
          <w:szCs w:val="21"/>
        </w:rPr>
        <w:t xml:space="preserve"> </w:t>
      </w:r>
      <w:r w:rsidR="00604D60">
        <w:rPr>
          <w:rFonts w:ascii="Arial" w:eastAsia="Calibri" w:hAnsi="Arial" w:cs="Arial"/>
          <w:sz w:val="21"/>
          <w:szCs w:val="21"/>
        </w:rPr>
        <w:t xml:space="preserve">ser </w:t>
      </w:r>
      <w:r w:rsidR="00CD0E35" w:rsidRPr="008C5BCF">
        <w:rPr>
          <w:rFonts w:ascii="Arial" w:eastAsia="Calibri" w:hAnsi="Arial" w:cs="Arial"/>
          <w:sz w:val="21"/>
          <w:szCs w:val="21"/>
        </w:rPr>
        <w:t>incorporados al presupuesto institucional del OEFA conforme a lo dispuesto en el Artículo 42° de la Ley N° 28411</w:t>
      </w:r>
      <w:r w:rsidR="00CD0E35">
        <w:rPr>
          <w:rFonts w:ascii="Arial" w:eastAsia="Calibri" w:hAnsi="Arial" w:cs="Arial"/>
          <w:sz w:val="21"/>
          <w:szCs w:val="21"/>
        </w:rPr>
        <w:t>-</w:t>
      </w:r>
      <w:r w:rsidR="00CD0E35" w:rsidRPr="008C5BCF">
        <w:rPr>
          <w:rFonts w:ascii="Arial" w:eastAsia="Calibri" w:hAnsi="Arial" w:cs="Arial"/>
          <w:sz w:val="21"/>
          <w:szCs w:val="21"/>
        </w:rPr>
        <w:t xml:space="preserve"> Ley General del Sistema Nacional de Presupuesto, en la fuente de financiamiento</w:t>
      </w:r>
      <w:r>
        <w:rPr>
          <w:rFonts w:ascii="Arial" w:eastAsia="Calibri" w:hAnsi="Arial" w:cs="Arial"/>
          <w:sz w:val="21"/>
          <w:szCs w:val="21"/>
        </w:rPr>
        <w:t xml:space="preserve"> de</w:t>
      </w:r>
      <w:r w:rsidR="00CD0E35" w:rsidRPr="008C5BCF">
        <w:rPr>
          <w:rFonts w:ascii="Arial" w:eastAsia="Calibri" w:hAnsi="Arial" w:cs="Arial"/>
          <w:sz w:val="21"/>
          <w:szCs w:val="21"/>
        </w:rPr>
        <w:t xml:space="preserve"> </w:t>
      </w:r>
      <w:r>
        <w:rPr>
          <w:rFonts w:ascii="Arial" w:eastAsia="Calibri" w:hAnsi="Arial" w:cs="Arial"/>
          <w:sz w:val="21"/>
          <w:szCs w:val="21"/>
        </w:rPr>
        <w:t>r</w:t>
      </w:r>
      <w:r w:rsidR="00CD0E35" w:rsidRPr="008C5BCF">
        <w:rPr>
          <w:rFonts w:ascii="Arial" w:eastAsia="Calibri" w:hAnsi="Arial" w:cs="Arial"/>
          <w:sz w:val="21"/>
          <w:szCs w:val="21"/>
        </w:rPr>
        <w:t xml:space="preserve">ecursos </w:t>
      </w:r>
      <w:r>
        <w:rPr>
          <w:rFonts w:ascii="Arial" w:eastAsia="Calibri" w:hAnsi="Arial" w:cs="Arial"/>
          <w:sz w:val="21"/>
          <w:szCs w:val="21"/>
        </w:rPr>
        <w:t>directamente r</w:t>
      </w:r>
      <w:r w:rsidR="00CD0E35" w:rsidRPr="008C5BCF">
        <w:rPr>
          <w:rFonts w:ascii="Arial" w:eastAsia="Calibri" w:hAnsi="Arial" w:cs="Arial"/>
          <w:sz w:val="21"/>
          <w:szCs w:val="21"/>
        </w:rPr>
        <w:t>ecaudados.</w:t>
      </w:r>
    </w:p>
    <w:p w:rsidR="0093581C" w:rsidRPr="008C5BCF" w:rsidRDefault="0093581C" w:rsidP="00CD0E35">
      <w:pPr>
        <w:tabs>
          <w:tab w:val="left" w:pos="567"/>
        </w:tabs>
        <w:autoSpaceDE w:val="0"/>
        <w:autoSpaceDN w:val="0"/>
        <w:adjustRightInd w:val="0"/>
        <w:contextualSpacing/>
        <w:jc w:val="both"/>
        <w:rPr>
          <w:rFonts w:ascii="Arial" w:eastAsia="Calibri" w:hAnsi="Arial" w:cs="Arial"/>
          <w:sz w:val="21"/>
          <w:szCs w:val="21"/>
        </w:rPr>
      </w:pPr>
    </w:p>
    <w:p w:rsidR="00CD0E35" w:rsidRDefault="0093581C" w:rsidP="00CD0E35">
      <w:pPr>
        <w:jc w:val="both"/>
        <w:rPr>
          <w:rFonts w:ascii="Arial" w:eastAsia="Calibri" w:hAnsi="Arial" w:cs="Arial"/>
          <w:sz w:val="21"/>
          <w:szCs w:val="21"/>
        </w:rPr>
      </w:pPr>
      <w:r>
        <w:rPr>
          <w:rFonts w:ascii="Arial" w:eastAsia="Calibri" w:hAnsi="Arial" w:cs="Arial"/>
          <w:sz w:val="21"/>
          <w:szCs w:val="21"/>
        </w:rPr>
        <w:t>Es así que m</w:t>
      </w:r>
      <w:r w:rsidR="00CD0E35">
        <w:rPr>
          <w:rFonts w:ascii="Arial" w:eastAsia="Calibri" w:hAnsi="Arial" w:cs="Arial"/>
          <w:sz w:val="21"/>
          <w:szCs w:val="21"/>
        </w:rPr>
        <w:t xml:space="preserve">ediante Decreto Supremo N° 129-2013-PCM se establece el siguiente porcentaje de Aporte por Regulación que corresponde al OEFA: </w:t>
      </w:r>
    </w:p>
    <w:tbl>
      <w:tblPr>
        <w:tblpPr w:leftFromText="141" w:rightFromText="141" w:vertAnchor="text" w:horzAnchor="margin" w:tblpY="28"/>
        <w:tblW w:w="4011" w:type="dxa"/>
        <w:tblCellMar>
          <w:left w:w="70" w:type="dxa"/>
          <w:right w:w="70" w:type="dxa"/>
        </w:tblCellMar>
        <w:tblLook w:val="04A0" w:firstRow="1" w:lastRow="0" w:firstColumn="1" w:lastColumn="0" w:noHBand="0" w:noVBand="1"/>
      </w:tblPr>
      <w:tblGrid>
        <w:gridCol w:w="1020"/>
        <w:gridCol w:w="2991"/>
      </w:tblGrid>
      <w:tr w:rsidR="00994969" w:rsidTr="0093581C">
        <w:trPr>
          <w:trHeight w:val="51"/>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81C" w:rsidRDefault="0093581C" w:rsidP="00994969">
            <w:pPr>
              <w:jc w:val="center"/>
              <w:rPr>
                <w:rFonts w:ascii="Arial" w:hAnsi="Arial" w:cs="Arial"/>
                <w:color w:val="000000"/>
                <w:sz w:val="14"/>
                <w:szCs w:val="14"/>
              </w:rPr>
            </w:pPr>
          </w:p>
          <w:p w:rsidR="00994969" w:rsidRPr="0093581C" w:rsidRDefault="00994969" w:rsidP="00994969">
            <w:pPr>
              <w:jc w:val="center"/>
              <w:rPr>
                <w:rFonts w:ascii="Arial" w:eastAsia="Times New Roman" w:hAnsi="Arial" w:cs="Arial"/>
                <w:color w:val="000000"/>
                <w:sz w:val="14"/>
                <w:szCs w:val="14"/>
                <w:lang w:eastAsia="es-PE"/>
              </w:rPr>
            </w:pPr>
            <w:r w:rsidRPr="0093581C">
              <w:rPr>
                <w:rFonts w:ascii="Arial" w:hAnsi="Arial" w:cs="Arial"/>
                <w:color w:val="000000"/>
                <w:sz w:val="14"/>
                <w:szCs w:val="14"/>
              </w:rPr>
              <w:t>Subsectores</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rsidR="0093581C" w:rsidRDefault="00994969" w:rsidP="00994969">
            <w:pPr>
              <w:jc w:val="center"/>
              <w:rPr>
                <w:rFonts w:ascii="Arial" w:hAnsi="Arial" w:cs="Arial"/>
                <w:color w:val="000000"/>
                <w:sz w:val="14"/>
                <w:szCs w:val="14"/>
              </w:rPr>
            </w:pPr>
            <w:r w:rsidRPr="0093581C">
              <w:rPr>
                <w:rFonts w:ascii="Arial" w:hAnsi="Arial" w:cs="Arial"/>
                <w:color w:val="000000"/>
                <w:sz w:val="14"/>
                <w:szCs w:val="14"/>
              </w:rPr>
              <w:t xml:space="preserve"> </w:t>
            </w:r>
          </w:p>
          <w:p w:rsidR="00994969" w:rsidRPr="0093581C" w:rsidRDefault="00994969" w:rsidP="00994969">
            <w:pPr>
              <w:jc w:val="center"/>
              <w:rPr>
                <w:rFonts w:ascii="Arial" w:hAnsi="Arial" w:cs="Arial"/>
                <w:color w:val="000000"/>
                <w:sz w:val="14"/>
                <w:szCs w:val="14"/>
              </w:rPr>
            </w:pPr>
            <w:r w:rsidRPr="0093581C">
              <w:rPr>
                <w:rFonts w:ascii="Arial" w:hAnsi="Arial" w:cs="Arial"/>
                <w:color w:val="000000"/>
                <w:sz w:val="14"/>
                <w:szCs w:val="14"/>
              </w:rPr>
              <w:t>Sujetos Obligados</w:t>
            </w:r>
          </w:p>
        </w:tc>
      </w:tr>
      <w:tr w:rsidR="00994969" w:rsidTr="0093581C">
        <w:trPr>
          <w:trHeight w:val="187"/>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994969" w:rsidRPr="0093581C" w:rsidRDefault="00994969" w:rsidP="00994969">
            <w:pPr>
              <w:rPr>
                <w:rFonts w:ascii="Arial" w:hAnsi="Arial" w:cs="Arial"/>
                <w:color w:val="000000"/>
                <w:sz w:val="14"/>
                <w:szCs w:val="14"/>
              </w:rPr>
            </w:pPr>
            <w:r w:rsidRPr="0093581C">
              <w:rPr>
                <w:rFonts w:ascii="Arial" w:hAnsi="Arial" w:cs="Arial"/>
                <w:color w:val="000000"/>
                <w:sz w:val="14"/>
                <w:szCs w:val="14"/>
              </w:rPr>
              <w:t>Electricidad</w:t>
            </w:r>
          </w:p>
        </w:tc>
        <w:tc>
          <w:tcPr>
            <w:tcW w:w="3103" w:type="dxa"/>
            <w:tcBorders>
              <w:top w:val="nil"/>
              <w:left w:val="nil"/>
              <w:bottom w:val="single" w:sz="4" w:space="0" w:color="auto"/>
              <w:right w:val="single" w:sz="4" w:space="0" w:color="auto"/>
            </w:tcBorders>
            <w:shd w:val="clear" w:color="auto" w:fill="auto"/>
            <w:vAlign w:val="center"/>
            <w:hideMark/>
          </w:tcPr>
          <w:p w:rsidR="00994969" w:rsidRPr="0093581C" w:rsidRDefault="00994969" w:rsidP="00994969">
            <w:pPr>
              <w:jc w:val="both"/>
              <w:rPr>
                <w:rFonts w:ascii="Arial" w:hAnsi="Arial" w:cs="Arial"/>
                <w:color w:val="000000"/>
                <w:sz w:val="14"/>
                <w:szCs w:val="14"/>
              </w:rPr>
            </w:pPr>
            <w:r w:rsidRPr="0093581C">
              <w:rPr>
                <w:rFonts w:ascii="Arial" w:hAnsi="Arial" w:cs="Arial"/>
                <w:color w:val="000000"/>
                <w:sz w:val="14"/>
                <w:szCs w:val="14"/>
              </w:rPr>
              <w:t>Los concesionarios de generación de transmisión y de distribución de energía eléctrica así como las entidades que desarrollan exclusivamente actividades de generación mediante autorización.</w:t>
            </w:r>
          </w:p>
        </w:tc>
      </w:tr>
      <w:tr w:rsidR="00994969" w:rsidTr="0093581C">
        <w:trPr>
          <w:trHeight w:val="158"/>
        </w:trPr>
        <w:tc>
          <w:tcPr>
            <w:tcW w:w="908" w:type="dxa"/>
            <w:tcBorders>
              <w:top w:val="nil"/>
              <w:left w:val="single" w:sz="4" w:space="0" w:color="auto"/>
              <w:bottom w:val="single" w:sz="4" w:space="0" w:color="auto"/>
              <w:right w:val="single" w:sz="4" w:space="0" w:color="auto"/>
            </w:tcBorders>
            <w:shd w:val="clear" w:color="auto" w:fill="auto"/>
            <w:vAlign w:val="center"/>
            <w:hideMark/>
          </w:tcPr>
          <w:p w:rsidR="00994969" w:rsidRPr="0093581C" w:rsidRDefault="00994969" w:rsidP="00994969">
            <w:pPr>
              <w:rPr>
                <w:rFonts w:ascii="Arial" w:hAnsi="Arial" w:cs="Arial"/>
                <w:color w:val="000000"/>
                <w:sz w:val="14"/>
                <w:szCs w:val="14"/>
              </w:rPr>
            </w:pPr>
            <w:r w:rsidRPr="0093581C">
              <w:rPr>
                <w:rFonts w:ascii="Arial" w:hAnsi="Arial" w:cs="Arial"/>
                <w:color w:val="000000"/>
                <w:sz w:val="14"/>
                <w:szCs w:val="14"/>
              </w:rPr>
              <w:t>Hidrocarburos Importación/ Producción</w:t>
            </w:r>
          </w:p>
        </w:tc>
        <w:tc>
          <w:tcPr>
            <w:tcW w:w="3103" w:type="dxa"/>
            <w:tcBorders>
              <w:top w:val="nil"/>
              <w:left w:val="nil"/>
              <w:bottom w:val="single" w:sz="4" w:space="0" w:color="auto"/>
              <w:right w:val="single" w:sz="4" w:space="0" w:color="auto"/>
            </w:tcBorders>
            <w:shd w:val="clear" w:color="auto" w:fill="auto"/>
            <w:vAlign w:val="center"/>
            <w:hideMark/>
          </w:tcPr>
          <w:p w:rsidR="00994969" w:rsidRPr="0093581C" w:rsidRDefault="00994969" w:rsidP="00994969">
            <w:pPr>
              <w:jc w:val="both"/>
              <w:rPr>
                <w:rFonts w:ascii="Arial" w:hAnsi="Arial" w:cs="Arial"/>
                <w:color w:val="000000"/>
                <w:sz w:val="14"/>
                <w:szCs w:val="14"/>
              </w:rPr>
            </w:pPr>
            <w:r w:rsidRPr="0093581C">
              <w:rPr>
                <w:rFonts w:ascii="Arial" w:hAnsi="Arial" w:cs="Arial"/>
                <w:color w:val="000000"/>
                <w:sz w:val="14"/>
                <w:szCs w:val="14"/>
              </w:rPr>
              <w:t>Las entidades y las empresas del subsector hidrocarburos que realizan actividades de importación y/o producción de combustibles, incluyendo gases licuados de petróleo.</w:t>
            </w:r>
          </w:p>
        </w:tc>
      </w:tr>
      <w:tr w:rsidR="00994969" w:rsidTr="0093581C">
        <w:trPr>
          <w:trHeight w:val="44"/>
        </w:trPr>
        <w:tc>
          <w:tcPr>
            <w:tcW w:w="908" w:type="dxa"/>
            <w:tcBorders>
              <w:top w:val="nil"/>
              <w:left w:val="single" w:sz="4" w:space="0" w:color="auto"/>
              <w:bottom w:val="nil"/>
              <w:right w:val="single" w:sz="4" w:space="0" w:color="auto"/>
            </w:tcBorders>
            <w:shd w:val="clear" w:color="auto" w:fill="auto"/>
            <w:vAlign w:val="center"/>
            <w:hideMark/>
          </w:tcPr>
          <w:p w:rsidR="00994969" w:rsidRPr="0093581C" w:rsidRDefault="00994969" w:rsidP="00994969">
            <w:pPr>
              <w:rPr>
                <w:rFonts w:ascii="Arial" w:hAnsi="Arial" w:cs="Arial"/>
                <w:color w:val="000000"/>
                <w:sz w:val="14"/>
                <w:szCs w:val="14"/>
              </w:rPr>
            </w:pPr>
            <w:r w:rsidRPr="0093581C">
              <w:rPr>
                <w:rFonts w:ascii="Arial" w:hAnsi="Arial" w:cs="Arial"/>
                <w:color w:val="000000"/>
                <w:sz w:val="14"/>
                <w:szCs w:val="14"/>
              </w:rPr>
              <w:t>Hidrocarburos Transportes/ Distribución</w:t>
            </w:r>
          </w:p>
        </w:tc>
        <w:tc>
          <w:tcPr>
            <w:tcW w:w="3103" w:type="dxa"/>
            <w:tcBorders>
              <w:top w:val="nil"/>
              <w:left w:val="nil"/>
              <w:bottom w:val="nil"/>
              <w:right w:val="single" w:sz="4" w:space="0" w:color="auto"/>
            </w:tcBorders>
            <w:shd w:val="clear" w:color="auto" w:fill="auto"/>
            <w:vAlign w:val="center"/>
            <w:hideMark/>
          </w:tcPr>
          <w:p w:rsidR="00994969" w:rsidRPr="0093581C" w:rsidRDefault="00994969" w:rsidP="00994969">
            <w:pPr>
              <w:jc w:val="both"/>
              <w:rPr>
                <w:rFonts w:ascii="Arial" w:hAnsi="Arial" w:cs="Arial"/>
                <w:color w:val="000000"/>
                <w:sz w:val="14"/>
                <w:szCs w:val="14"/>
              </w:rPr>
            </w:pPr>
            <w:r w:rsidRPr="0093581C">
              <w:rPr>
                <w:rFonts w:ascii="Arial" w:hAnsi="Arial" w:cs="Arial"/>
                <w:color w:val="000000"/>
                <w:sz w:val="14"/>
                <w:szCs w:val="14"/>
              </w:rPr>
              <w:t>Las entidades y las empresas del subsector hidrocarburos, concesionarios de actividades de transporte de hidrocarburos por ductos y distribución de gas natural por red de ductos.</w:t>
            </w:r>
          </w:p>
        </w:tc>
      </w:tr>
      <w:tr w:rsidR="0093581C" w:rsidTr="0093581C">
        <w:trPr>
          <w:trHeight w:val="71"/>
        </w:trPr>
        <w:tc>
          <w:tcPr>
            <w:tcW w:w="908" w:type="dxa"/>
            <w:tcBorders>
              <w:top w:val="nil"/>
              <w:left w:val="single" w:sz="4" w:space="0" w:color="auto"/>
              <w:bottom w:val="single" w:sz="4" w:space="0" w:color="auto"/>
              <w:right w:val="single" w:sz="4" w:space="0" w:color="auto"/>
            </w:tcBorders>
            <w:shd w:val="clear" w:color="auto" w:fill="auto"/>
            <w:vAlign w:val="center"/>
          </w:tcPr>
          <w:p w:rsidR="0093581C" w:rsidRPr="0093581C" w:rsidRDefault="0093581C" w:rsidP="00994969">
            <w:pPr>
              <w:rPr>
                <w:rFonts w:ascii="Arial" w:hAnsi="Arial" w:cs="Arial"/>
                <w:color w:val="000000"/>
                <w:sz w:val="14"/>
                <w:szCs w:val="14"/>
              </w:rPr>
            </w:pPr>
          </w:p>
        </w:tc>
        <w:tc>
          <w:tcPr>
            <w:tcW w:w="3103" w:type="dxa"/>
            <w:tcBorders>
              <w:top w:val="nil"/>
              <w:left w:val="nil"/>
              <w:bottom w:val="single" w:sz="4" w:space="0" w:color="auto"/>
              <w:right w:val="single" w:sz="4" w:space="0" w:color="auto"/>
            </w:tcBorders>
            <w:shd w:val="clear" w:color="auto" w:fill="auto"/>
            <w:vAlign w:val="center"/>
          </w:tcPr>
          <w:p w:rsidR="0093581C" w:rsidRPr="0093581C" w:rsidRDefault="0093581C" w:rsidP="00994969">
            <w:pPr>
              <w:jc w:val="both"/>
              <w:rPr>
                <w:rFonts w:ascii="Arial" w:hAnsi="Arial" w:cs="Arial"/>
                <w:color w:val="000000"/>
                <w:sz w:val="14"/>
                <w:szCs w:val="14"/>
              </w:rPr>
            </w:pPr>
          </w:p>
        </w:tc>
      </w:tr>
    </w:tbl>
    <w:p w:rsidR="00CD0E35" w:rsidRDefault="00CD0E35" w:rsidP="00CD0E35">
      <w:pPr>
        <w:jc w:val="both"/>
        <w:rPr>
          <w:rFonts w:ascii="Arial" w:eastAsia="Calibri" w:hAnsi="Arial" w:cs="Arial"/>
          <w:sz w:val="21"/>
          <w:szCs w:val="21"/>
        </w:rPr>
      </w:pPr>
    </w:p>
    <w:tbl>
      <w:tblPr>
        <w:tblStyle w:val="GridTableLight"/>
        <w:tblpPr w:leftFromText="141" w:rightFromText="141" w:vertAnchor="text" w:horzAnchor="page" w:tblpX="7486" w:tblpY="-48"/>
        <w:tblW w:w="2737" w:type="dxa"/>
        <w:tblLook w:val="0000" w:firstRow="0" w:lastRow="0" w:firstColumn="0" w:lastColumn="0" w:noHBand="0" w:noVBand="0"/>
      </w:tblPr>
      <w:tblGrid>
        <w:gridCol w:w="707"/>
        <w:gridCol w:w="1144"/>
        <w:gridCol w:w="886"/>
      </w:tblGrid>
      <w:tr w:rsidR="00994969" w:rsidRPr="0093581C" w:rsidTr="00994969">
        <w:trPr>
          <w:trHeight w:val="77"/>
        </w:trPr>
        <w:tc>
          <w:tcPr>
            <w:tcW w:w="621" w:type="dxa"/>
            <w:tcBorders>
              <w:top w:val="single" w:sz="4" w:space="0" w:color="auto"/>
              <w:left w:val="single" w:sz="4" w:space="0" w:color="auto"/>
              <w:bottom w:val="single" w:sz="4" w:space="0" w:color="auto"/>
              <w:right w:val="single" w:sz="4" w:space="0" w:color="auto"/>
            </w:tcBorders>
          </w:tcPr>
          <w:p w:rsidR="0093581C" w:rsidRDefault="0093581C" w:rsidP="00994969">
            <w:pPr>
              <w:jc w:val="center"/>
              <w:rPr>
                <w:rFonts w:ascii="Arial" w:hAnsi="Arial" w:cs="Arial"/>
                <w:sz w:val="14"/>
                <w:szCs w:val="14"/>
              </w:rPr>
            </w:pPr>
          </w:p>
          <w:p w:rsidR="00994969" w:rsidRPr="0093581C" w:rsidRDefault="00994969" w:rsidP="00994969">
            <w:pPr>
              <w:jc w:val="center"/>
              <w:rPr>
                <w:rFonts w:ascii="Arial" w:hAnsi="Arial" w:cs="Arial"/>
                <w:sz w:val="14"/>
                <w:szCs w:val="14"/>
              </w:rPr>
            </w:pPr>
            <w:r w:rsidRPr="0093581C">
              <w:rPr>
                <w:rFonts w:ascii="Arial" w:hAnsi="Arial" w:cs="Arial"/>
                <w:sz w:val="14"/>
                <w:szCs w:val="14"/>
              </w:rPr>
              <w:t>Sector</w:t>
            </w:r>
          </w:p>
        </w:tc>
        <w:tc>
          <w:tcPr>
            <w:tcW w:w="1355" w:type="dxa"/>
            <w:tcBorders>
              <w:top w:val="single" w:sz="4" w:space="0" w:color="auto"/>
              <w:left w:val="nil"/>
              <w:bottom w:val="single" w:sz="4" w:space="0" w:color="auto"/>
              <w:right w:val="single" w:sz="4" w:space="0" w:color="auto"/>
            </w:tcBorders>
          </w:tcPr>
          <w:p w:rsidR="0093581C" w:rsidRDefault="0093581C" w:rsidP="00994969">
            <w:pPr>
              <w:jc w:val="center"/>
              <w:rPr>
                <w:rFonts w:ascii="Arial" w:hAnsi="Arial" w:cs="Arial"/>
                <w:sz w:val="14"/>
                <w:szCs w:val="14"/>
              </w:rPr>
            </w:pPr>
          </w:p>
          <w:p w:rsidR="00994969" w:rsidRPr="0093581C" w:rsidRDefault="00994969" w:rsidP="00994969">
            <w:pPr>
              <w:jc w:val="center"/>
              <w:rPr>
                <w:rFonts w:ascii="Arial" w:hAnsi="Arial" w:cs="Arial"/>
                <w:sz w:val="14"/>
                <w:szCs w:val="14"/>
              </w:rPr>
            </w:pPr>
            <w:r w:rsidRPr="0093581C">
              <w:rPr>
                <w:rFonts w:ascii="Arial" w:hAnsi="Arial" w:cs="Arial"/>
                <w:sz w:val="14"/>
                <w:szCs w:val="14"/>
              </w:rPr>
              <w:t>Subsector</w:t>
            </w:r>
          </w:p>
        </w:tc>
        <w:tc>
          <w:tcPr>
            <w:tcW w:w="761" w:type="dxa"/>
            <w:tcBorders>
              <w:top w:val="single" w:sz="4" w:space="0" w:color="auto"/>
              <w:left w:val="nil"/>
              <w:bottom w:val="single" w:sz="4" w:space="0" w:color="auto"/>
              <w:right w:val="single" w:sz="4" w:space="0" w:color="auto"/>
            </w:tcBorders>
          </w:tcPr>
          <w:p w:rsidR="0093581C" w:rsidRDefault="0093581C" w:rsidP="00994969">
            <w:pPr>
              <w:jc w:val="center"/>
              <w:rPr>
                <w:rFonts w:ascii="Arial" w:hAnsi="Arial" w:cs="Arial"/>
                <w:sz w:val="14"/>
                <w:szCs w:val="14"/>
              </w:rPr>
            </w:pPr>
          </w:p>
          <w:p w:rsidR="00994969" w:rsidRDefault="00994969" w:rsidP="00994969">
            <w:pPr>
              <w:jc w:val="center"/>
              <w:rPr>
                <w:rFonts w:ascii="Arial" w:hAnsi="Arial" w:cs="Arial"/>
                <w:sz w:val="14"/>
                <w:szCs w:val="14"/>
              </w:rPr>
            </w:pPr>
            <w:r w:rsidRPr="0093581C">
              <w:rPr>
                <w:rFonts w:ascii="Arial" w:hAnsi="Arial" w:cs="Arial"/>
                <w:sz w:val="14"/>
                <w:szCs w:val="14"/>
              </w:rPr>
              <w:t>Porcentaje OEFA</w:t>
            </w:r>
          </w:p>
          <w:p w:rsidR="0093581C" w:rsidRPr="0093581C" w:rsidRDefault="0093581C" w:rsidP="00994969">
            <w:pPr>
              <w:jc w:val="center"/>
              <w:rPr>
                <w:rFonts w:ascii="Arial" w:hAnsi="Arial" w:cs="Arial"/>
                <w:sz w:val="14"/>
                <w:szCs w:val="14"/>
              </w:rPr>
            </w:pPr>
          </w:p>
        </w:tc>
      </w:tr>
      <w:tr w:rsidR="00994969" w:rsidRPr="0093581C" w:rsidTr="00994969">
        <w:trPr>
          <w:trHeight w:val="237"/>
        </w:trPr>
        <w:tc>
          <w:tcPr>
            <w:tcW w:w="621" w:type="dxa"/>
            <w:vMerge w:val="restart"/>
            <w:tcBorders>
              <w:top w:val="single" w:sz="4" w:space="0" w:color="auto"/>
              <w:left w:val="single" w:sz="4" w:space="0" w:color="auto"/>
              <w:right w:val="single" w:sz="4" w:space="0" w:color="auto"/>
            </w:tcBorders>
          </w:tcPr>
          <w:p w:rsidR="00994969" w:rsidRPr="0093581C" w:rsidRDefault="00994969" w:rsidP="00994969">
            <w:pPr>
              <w:jc w:val="both"/>
              <w:rPr>
                <w:rFonts w:ascii="Arial" w:hAnsi="Arial" w:cs="Arial"/>
                <w:sz w:val="14"/>
                <w:szCs w:val="14"/>
              </w:rPr>
            </w:pPr>
          </w:p>
          <w:p w:rsidR="00994969" w:rsidRPr="0093581C" w:rsidRDefault="00994969" w:rsidP="00994969">
            <w:pPr>
              <w:jc w:val="both"/>
              <w:rPr>
                <w:rFonts w:ascii="Arial" w:hAnsi="Arial" w:cs="Arial"/>
                <w:sz w:val="14"/>
                <w:szCs w:val="14"/>
              </w:rPr>
            </w:pPr>
          </w:p>
          <w:p w:rsidR="00994969" w:rsidRPr="0093581C" w:rsidRDefault="00994969" w:rsidP="00994969">
            <w:pPr>
              <w:jc w:val="center"/>
              <w:rPr>
                <w:rFonts w:ascii="Arial" w:hAnsi="Arial" w:cs="Arial"/>
                <w:sz w:val="14"/>
                <w:szCs w:val="14"/>
              </w:rPr>
            </w:pPr>
            <w:r w:rsidRPr="0093581C">
              <w:rPr>
                <w:rFonts w:ascii="Arial" w:hAnsi="Arial" w:cs="Arial"/>
                <w:sz w:val="14"/>
                <w:szCs w:val="14"/>
              </w:rPr>
              <w:t>Energía</w:t>
            </w:r>
          </w:p>
        </w:tc>
        <w:tc>
          <w:tcPr>
            <w:tcW w:w="1355" w:type="dxa"/>
            <w:tcBorders>
              <w:top w:val="single" w:sz="4" w:space="0" w:color="auto"/>
              <w:left w:val="single" w:sz="4" w:space="0" w:color="auto"/>
              <w:bottom w:val="single" w:sz="4" w:space="0" w:color="auto"/>
              <w:right w:val="single" w:sz="4" w:space="0" w:color="auto"/>
            </w:tcBorders>
          </w:tcPr>
          <w:p w:rsidR="00994969" w:rsidRPr="0093581C" w:rsidRDefault="00994969" w:rsidP="00994969">
            <w:pPr>
              <w:jc w:val="both"/>
              <w:rPr>
                <w:rFonts w:ascii="Arial" w:hAnsi="Arial" w:cs="Arial"/>
                <w:sz w:val="14"/>
                <w:szCs w:val="14"/>
              </w:rPr>
            </w:pPr>
            <w:r w:rsidRPr="0093581C">
              <w:rPr>
                <w:rFonts w:ascii="Arial" w:hAnsi="Arial" w:cs="Arial"/>
                <w:sz w:val="14"/>
                <w:szCs w:val="14"/>
              </w:rPr>
              <w:t>Electricidad</w:t>
            </w:r>
          </w:p>
        </w:tc>
        <w:tc>
          <w:tcPr>
            <w:tcW w:w="761" w:type="dxa"/>
            <w:tcBorders>
              <w:top w:val="single" w:sz="4" w:space="0" w:color="auto"/>
              <w:left w:val="single" w:sz="4" w:space="0" w:color="auto"/>
              <w:bottom w:val="single" w:sz="4" w:space="0" w:color="auto"/>
              <w:right w:val="single" w:sz="4" w:space="0" w:color="auto"/>
            </w:tcBorders>
          </w:tcPr>
          <w:p w:rsidR="00994969" w:rsidRPr="0093581C" w:rsidRDefault="00994969" w:rsidP="00994969">
            <w:pPr>
              <w:jc w:val="center"/>
              <w:rPr>
                <w:rFonts w:ascii="Arial" w:hAnsi="Arial" w:cs="Arial"/>
                <w:sz w:val="14"/>
                <w:szCs w:val="14"/>
              </w:rPr>
            </w:pPr>
            <w:r w:rsidRPr="0093581C">
              <w:rPr>
                <w:rFonts w:ascii="Arial" w:hAnsi="Arial" w:cs="Arial"/>
                <w:sz w:val="14"/>
                <w:szCs w:val="14"/>
              </w:rPr>
              <w:t>0.11</w:t>
            </w:r>
          </w:p>
        </w:tc>
      </w:tr>
      <w:tr w:rsidR="00994969" w:rsidRPr="0093581C" w:rsidTr="00994969">
        <w:trPr>
          <w:trHeight w:val="325"/>
        </w:trPr>
        <w:tc>
          <w:tcPr>
            <w:tcW w:w="621" w:type="dxa"/>
            <w:vMerge/>
            <w:tcBorders>
              <w:left w:val="single" w:sz="4" w:space="0" w:color="auto"/>
              <w:right w:val="single" w:sz="4" w:space="0" w:color="auto"/>
            </w:tcBorders>
          </w:tcPr>
          <w:p w:rsidR="00994969" w:rsidRPr="0093581C" w:rsidRDefault="00994969" w:rsidP="00994969">
            <w:pPr>
              <w:jc w:val="both"/>
              <w:rPr>
                <w:rFonts w:ascii="Arial" w:hAnsi="Arial" w:cs="Arial"/>
                <w:sz w:val="14"/>
                <w:szCs w:val="14"/>
              </w:rPr>
            </w:pPr>
          </w:p>
        </w:tc>
        <w:tc>
          <w:tcPr>
            <w:tcW w:w="1355" w:type="dxa"/>
            <w:tcBorders>
              <w:top w:val="single" w:sz="4" w:space="0" w:color="auto"/>
              <w:left w:val="single" w:sz="4" w:space="0" w:color="auto"/>
              <w:bottom w:val="single" w:sz="4" w:space="0" w:color="auto"/>
              <w:right w:val="single" w:sz="4" w:space="0" w:color="auto"/>
            </w:tcBorders>
          </w:tcPr>
          <w:p w:rsidR="00994969" w:rsidRPr="0093581C" w:rsidRDefault="00994969" w:rsidP="00994969">
            <w:pPr>
              <w:rPr>
                <w:rFonts w:ascii="Arial" w:hAnsi="Arial" w:cs="Arial"/>
                <w:sz w:val="14"/>
                <w:szCs w:val="14"/>
              </w:rPr>
            </w:pPr>
            <w:r w:rsidRPr="0093581C">
              <w:rPr>
                <w:rFonts w:ascii="Arial" w:hAnsi="Arial" w:cs="Arial"/>
                <w:sz w:val="14"/>
                <w:szCs w:val="14"/>
              </w:rPr>
              <w:t>Hidrocarburos Importación / Producción</w:t>
            </w:r>
          </w:p>
        </w:tc>
        <w:tc>
          <w:tcPr>
            <w:tcW w:w="761" w:type="dxa"/>
            <w:tcBorders>
              <w:top w:val="single" w:sz="4" w:space="0" w:color="auto"/>
              <w:left w:val="single" w:sz="4" w:space="0" w:color="auto"/>
              <w:bottom w:val="single" w:sz="4" w:space="0" w:color="auto"/>
              <w:right w:val="single" w:sz="4" w:space="0" w:color="auto"/>
            </w:tcBorders>
          </w:tcPr>
          <w:p w:rsidR="00994969" w:rsidRPr="0093581C" w:rsidRDefault="00994969" w:rsidP="00994969">
            <w:pPr>
              <w:jc w:val="center"/>
              <w:rPr>
                <w:rFonts w:ascii="Arial" w:hAnsi="Arial" w:cs="Arial"/>
                <w:sz w:val="14"/>
                <w:szCs w:val="14"/>
              </w:rPr>
            </w:pPr>
            <w:r w:rsidRPr="0093581C">
              <w:rPr>
                <w:rFonts w:ascii="Arial" w:hAnsi="Arial" w:cs="Arial"/>
                <w:sz w:val="14"/>
                <w:szCs w:val="14"/>
              </w:rPr>
              <w:t>0.12</w:t>
            </w:r>
          </w:p>
        </w:tc>
      </w:tr>
      <w:tr w:rsidR="00994969" w:rsidRPr="0093581C" w:rsidTr="00994969">
        <w:trPr>
          <w:trHeight w:val="367"/>
        </w:trPr>
        <w:tc>
          <w:tcPr>
            <w:tcW w:w="621" w:type="dxa"/>
            <w:vMerge/>
            <w:tcBorders>
              <w:left w:val="single" w:sz="4" w:space="0" w:color="auto"/>
              <w:bottom w:val="single" w:sz="4" w:space="0" w:color="auto"/>
              <w:right w:val="single" w:sz="4" w:space="0" w:color="auto"/>
            </w:tcBorders>
          </w:tcPr>
          <w:p w:rsidR="00994969" w:rsidRPr="0093581C" w:rsidRDefault="00994969" w:rsidP="00994969">
            <w:pPr>
              <w:jc w:val="both"/>
              <w:rPr>
                <w:rFonts w:ascii="Arial" w:hAnsi="Arial" w:cs="Arial"/>
                <w:sz w:val="14"/>
                <w:szCs w:val="14"/>
              </w:rPr>
            </w:pPr>
          </w:p>
        </w:tc>
        <w:tc>
          <w:tcPr>
            <w:tcW w:w="1355" w:type="dxa"/>
            <w:tcBorders>
              <w:top w:val="single" w:sz="4" w:space="0" w:color="auto"/>
              <w:left w:val="single" w:sz="4" w:space="0" w:color="auto"/>
              <w:bottom w:val="single" w:sz="4" w:space="0" w:color="auto"/>
              <w:right w:val="single" w:sz="4" w:space="0" w:color="auto"/>
            </w:tcBorders>
          </w:tcPr>
          <w:p w:rsidR="00994969" w:rsidRPr="0093581C" w:rsidRDefault="00994969" w:rsidP="00994969">
            <w:pPr>
              <w:rPr>
                <w:rFonts w:ascii="Arial" w:hAnsi="Arial" w:cs="Arial"/>
                <w:sz w:val="14"/>
                <w:szCs w:val="14"/>
              </w:rPr>
            </w:pPr>
            <w:r w:rsidRPr="0093581C">
              <w:rPr>
                <w:rFonts w:ascii="Arial" w:hAnsi="Arial" w:cs="Arial"/>
                <w:sz w:val="14"/>
                <w:szCs w:val="14"/>
              </w:rPr>
              <w:t>Hidrocarburos Transporte / Producción</w:t>
            </w:r>
          </w:p>
        </w:tc>
        <w:tc>
          <w:tcPr>
            <w:tcW w:w="761" w:type="dxa"/>
            <w:tcBorders>
              <w:top w:val="single" w:sz="4" w:space="0" w:color="auto"/>
              <w:left w:val="single" w:sz="4" w:space="0" w:color="auto"/>
              <w:bottom w:val="single" w:sz="4" w:space="0" w:color="auto"/>
              <w:right w:val="single" w:sz="4" w:space="0" w:color="auto"/>
            </w:tcBorders>
          </w:tcPr>
          <w:p w:rsidR="00994969" w:rsidRPr="0093581C" w:rsidRDefault="00994969" w:rsidP="00994969">
            <w:pPr>
              <w:jc w:val="center"/>
              <w:rPr>
                <w:rFonts w:ascii="Arial" w:hAnsi="Arial" w:cs="Arial"/>
                <w:sz w:val="14"/>
                <w:szCs w:val="14"/>
              </w:rPr>
            </w:pPr>
            <w:r w:rsidRPr="0093581C">
              <w:rPr>
                <w:rFonts w:ascii="Arial" w:hAnsi="Arial" w:cs="Arial"/>
                <w:sz w:val="14"/>
                <w:szCs w:val="14"/>
              </w:rPr>
              <w:t>0.15</w:t>
            </w:r>
          </w:p>
        </w:tc>
      </w:tr>
    </w:tbl>
    <w:p w:rsidR="00CD0E35" w:rsidRDefault="00CD0E35" w:rsidP="00CD0E35">
      <w:pPr>
        <w:jc w:val="both"/>
        <w:rPr>
          <w:rFonts w:ascii="Arial" w:eastAsia="Calibri" w:hAnsi="Arial" w:cs="Arial"/>
          <w:sz w:val="21"/>
          <w:szCs w:val="21"/>
        </w:rPr>
      </w:pPr>
    </w:p>
    <w:p w:rsidR="00BF56C5" w:rsidRDefault="00BF56C5" w:rsidP="00CD0E35">
      <w:pPr>
        <w:jc w:val="both"/>
        <w:rPr>
          <w:rFonts w:ascii="Arial" w:eastAsia="Calibri" w:hAnsi="Arial" w:cs="Arial"/>
          <w:sz w:val="21"/>
          <w:szCs w:val="21"/>
        </w:rPr>
      </w:pPr>
    </w:p>
    <w:p w:rsidR="00994969" w:rsidRDefault="00994969" w:rsidP="00CD0E35">
      <w:pPr>
        <w:jc w:val="both"/>
        <w:rPr>
          <w:rFonts w:ascii="Arial" w:eastAsia="Calibri" w:hAnsi="Arial" w:cs="Arial"/>
          <w:sz w:val="21"/>
          <w:szCs w:val="21"/>
        </w:rPr>
      </w:pPr>
    </w:p>
    <w:p w:rsidR="00994969" w:rsidRDefault="00994969" w:rsidP="00CD0E35">
      <w:pPr>
        <w:jc w:val="both"/>
        <w:rPr>
          <w:rFonts w:ascii="Arial" w:eastAsia="Calibri" w:hAnsi="Arial" w:cs="Arial"/>
          <w:sz w:val="21"/>
          <w:szCs w:val="21"/>
        </w:rPr>
      </w:pPr>
    </w:p>
    <w:p w:rsidR="0093581C" w:rsidRDefault="0093581C" w:rsidP="00CD0E35">
      <w:pPr>
        <w:jc w:val="both"/>
        <w:rPr>
          <w:rFonts w:ascii="Arial" w:eastAsia="Calibri" w:hAnsi="Arial" w:cs="Arial"/>
          <w:sz w:val="21"/>
          <w:szCs w:val="21"/>
        </w:rPr>
      </w:pPr>
    </w:p>
    <w:p w:rsidR="0093581C" w:rsidRDefault="0093581C" w:rsidP="00CD0E35">
      <w:pPr>
        <w:jc w:val="both"/>
        <w:rPr>
          <w:rFonts w:ascii="Arial" w:eastAsia="Calibri" w:hAnsi="Arial" w:cs="Arial"/>
          <w:sz w:val="21"/>
          <w:szCs w:val="21"/>
        </w:rPr>
      </w:pPr>
    </w:p>
    <w:p w:rsidR="0093581C" w:rsidRDefault="0093581C" w:rsidP="00CD0E35">
      <w:pPr>
        <w:jc w:val="both"/>
        <w:rPr>
          <w:rFonts w:ascii="Arial" w:eastAsia="Calibri" w:hAnsi="Arial" w:cs="Arial"/>
          <w:sz w:val="21"/>
          <w:szCs w:val="21"/>
        </w:rPr>
      </w:pPr>
    </w:p>
    <w:p w:rsidR="0093581C" w:rsidRDefault="0093581C" w:rsidP="00CD0E35">
      <w:pPr>
        <w:jc w:val="both"/>
        <w:rPr>
          <w:rFonts w:ascii="Arial" w:eastAsia="Calibri" w:hAnsi="Arial" w:cs="Arial"/>
          <w:sz w:val="21"/>
          <w:szCs w:val="21"/>
        </w:rPr>
      </w:pPr>
    </w:p>
    <w:p w:rsidR="0093581C" w:rsidRDefault="0093581C" w:rsidP="00CD0E35">
      <w:pPr>
        <w:jc w:val="both"/>
        <w:rPr>
          <w:rFonts w:ascii="Arial" w:eastAsia="Calibri" w:hAnsi="Arial" w:cs="Arial"/>
          <w:sz w:val="21"/>
          <w:szCs w:val="21"/>
        </w:rPr>
      </w:pPr>
    </w:p>
    <w:p w:rsidR="00CD0E35" w:rsidRDefault="00CD0E35" w:rsidP="00CD0E35">
      <w:pPr>
        <w:jc w:val="both"/>
        <w:rPr>
          <w:rFonts w:ascii="Arial" w:eastAsia="Calibri" w:hAnsi="Arial" w:cs="Arial"/>
          <w:sz w:val="21"/>
          <w:szCs w:val="21"/>
        </w:rPr>
      </w:pPr>
      <w:r>
        <w:rPr>
          <w:rFonts w:ascii="Arial" w:eastAsia="Calibri" w:hAnsi="Arial" w:cs="Arial"/>
          <w:sz w:val="21"/>
          <w:szCs w:val="21"/>
        </w:rPr>
        <w:t>Mediante Decreto Supremo N° 130-2013-PCM, se establece el siguiente porcentaje de Aporte por Regulación que corresponde al OEFA:</w:t>
      </w:r>
    </w:p>
    <w:p w:rsidR="006B1D43" w:rsidRPr="000329D1" w:rsidRDefault="006B1D43" w:rsidP="00CD0E35">
      <w:pPr>
        <w:jc w:val="both"/>
        <w:rPr>
          <w:rFonts w:ascii="Arial" w:eastAsia="Calibri" w:hAnsi="Arial" w:cs="Arial"/>
          <w:sz w:val="16"/>
          <w:szCs w:val="16"/>
        </w:rPr>
      </w:pPr>
    </w:p>
    <w:tbl>
      <w:tblPr>
        <w:tblW w:w="2674" w:type="dxa"/>
        <w:tblInd w:w="484" w:type="dxa"/>
        <w:tblCellMar>
          <w:left w:w="70" w:type="dxa"/>
          <w:right w:w="70" w:type="dxa"/>
        </w:tblCellMar>
        <w:tblLook w:val="04A0" w:firstRow="1" w:lastRow="0" w:firstColumn="1" w:lastColumn="0" w:noHBand="0" w:noVBand="1"/>
      </w:tblPr>
      <w:tblGrid>
        <w:gridCol w:w="923"/>
        <w:gridCol w:w="1751"/>
      </w:tblGrid>
      <w:tr w:rsidR="00CD0E35" w:rsidTr="006B1D43">
        <w:trPr>
          <w:trHeight w:val="221"/>
        </w:trPr>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1D43" w:rsidRPr="0093581C" w:rsidRDefault="006B1D43" w:rsidP="00105D5F">
            <w:pPr>
              <w:jc w:val="center"/>
              <w:rPr>
                <w:rFonts w:ascii="Arial" w:hAnsi="Arial" w:cs="Arial"/>
                <w:color w:val="000000"/>
                <w:sz w:val="14"/>
                <w:szCs w:val="14"/>
              </w:rPr>
            </w:pPr>
          </w:p>
          <w:p w:rsidR="00CD0E35" w:rsidRPr="0093581C" w:rsidRDefault="00CD0E35" w:rsidP="00105D5F">
            <w:pPr>
              <w:jc w:val="center"/>
              <w:rPr>
                <w:rFonts w:ascii="Arial" w:eastAsia="Times New Roman" w:hAnsi="Arial" w:cs="Arial"/>
                <w:color w:val="000000"/>
                <w:sz w:val="14"/>
                <w:szCs w:val="14"/>
                <w:lang w:eastAsia="es-PE"/>
              </w:rPr>
            </w:pPr>
            <w:r w:rsidRPr="0093581C">
              <w:rPr>
                <w:rFonts w:ascii="Arial" w:hAnsi="Arial" w:cs="Arial"/>
                <w:color w:val="000000"/>
                <w:sz w:val="14"/>
                <w:szCs w:val="14"/>
              </w:rPr>
              <w:t>Sector</w:t>
            </w:r>
          </w:p>
        </w:tc>
        <w:tc>
          <w:tcPr>
            <w:tcW w:w="1751" w:type="dxa"/>
            <w:tcBorders>
              <w:top w:val="single" w:sz="4" w:space="0" w:color="auto"/>
              <w:left w:val="nil"/>
              <w:bottom w:val="single" w:sz="4" w:space="0" w:color="auto"/>
              <w:right w:val="single" w:sz="4" w:space="0" w:color="auto"/>
            </w:tcBorders>
            <w:shd w:val="clear" w:color="auto" w:fill="auto"/>
            <w:vAlign w:val="center"/>
            <w:hideMark/>
          </w:tcPr>
          <w:p w:rsidR="006B1D43" w:rsidRPr="0093581C" w:rsidRDefault="006B1D43" w:rsidP="00105D5F">
            <w:pPr>
              <w:jc w:val="center"/>
              <w:rPr>
                <w:rFonts w:ascii="Arial" w:hAnsi="Arial" w:cs="Arial"/>
                <w:color w:val="000000"/>
                <w:sz w:val="14"/>
                <w:szCs w:val="14"/>
              </w:rPr>
            </w:pPr>
          </w:p>
          <w:p w:rsidR="00CD0E35" w:rsidRPr="0093581C" w:rsidRDefault="00CD0E35" w:rsidP="00105D5F">
            <w:pPr>
              <w:jc w:val="center"/>
              <w:rPr>
                <w:rFonts w:ascii="Arial" w:hAnsi="Arial" w:cs="Arial"/>
                <w:color w:val="000000"/>
                <w:sz w:val="14"/>
                <w:szCs w:val="14"/>
              </w:rPr>
            </w:pPr>
            <w:r w:rsidRPr="0093581C">
              <w:rPr>
                <w:rFonts w:ascii="Arial" w:hAnsi="Arial" w:cs="Arial"/>
                <w:color w:val="000000"/>
                <w:sz w:val="14"/>
                <w:szCs w:val="14"/>
              </w:rPr>
              <w:t xml:space="preserve"> Sujetos Obligados</w:t>
            </w:r>
          </w:p>
        </w:tc>
      </w:tr>
      <w:tr w:rsidR="00CD0E35" w:rsidTr="006B1D43">
        <w:trPr>
          <w:trHeight w:val="503"/>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CD0E35" w:rsidRPr="0093581C" w:rsidRDefault="00CD0E35" w:rsidP="00105D5F">
            <w:pPr>
              <w:rPr>
                <w:rFonts w:ascii="Arial" w:hAnsi="Arial" w:cs="Arial"/>
                <w:color w:val="000000"/>
                <w:sz w:val="14"/>
                <w:szCs w:val="14"/>
              </w:rPr>
            </w:pPr>
            <w:r w:rsidRPr="0093581C">
              <w:rPr>
                <w:rFonts w:ascii="Arial" w:hAnsi="Arial" w:cs="Arial"/>
                <w:color w:val="000000"/>
                <w:sz w:val="14"/>
                <w:szCs w:val="14"/>
              </w:rPr>
              <w:t>Minería</w:t>
            </w:r>
          </w:p>
        </w:tc>
        <w:tc>
          <w:tcPr>
            <w:tcW w:w="1751" w:type="dxa"/>
            <w:tcBorders>
              <w:top w:val="nil"/>
              <w:left w:val="nil"/>
              <w:bottom w:val="single" w:sz="4" w:space="0" w:color="auto"/>
              <w:right w:val="single" w:sz="4" w:space="0" w:color="auto"/>
            </w:tcBorders>
            <w:shd w:val="clear" w:color="auto" w:fill="auto"/>
            <w:vAlign w:val="center"/>
            <w:hideMark/>
          </w:tcPr>
          <w:p w:rsidR="00CD0E35" w:rsidRPr="0093581C" w:rsidRDefault="00CD0E35" w:rsidP="00105D5F">
            <w:pPr>
              <w:rPr>
                <w:rFonts w:ascii="Arial" w:hAnsi="Arial" w:cs="Arial"/>
                <w:color w:val="000000"/>
                <w:sz w:val="14"/>
                <w:szCs w:val="14"/>
              </w:rPr>
            </w:pPr>
            <w:r w:rsidRPr="0093581C">
              <w:rPr>
                <w:rFonts w:ascii="Arial" w:hAnsi="Arial" w:cs="Arial"/>
                <w:color w:val="000000"/>
                <w:sz w:val="14"/>
                <w:szCs w:val="14"/>
              </w:rPr>
              <w:t>Los titulares de las actividades de Gran y Mediana Minería</w:t>
            </w:r>
          </w:p>
        </w:tc>
      </w:tr>
    </w:tbl>
    <w:tbl>
      <w:tblPr>
        <w:tblStyle w:val="Tablaconcuadrcula"/>
        <w:tblpPr w:leftFromText="141" w:rightFromText="141" w:vertAnchor="text" w:horzAnchor="page" w:tblpX="7051" w:tblpY="-1324"/>
        <w:tblW w:w="0" w:type="auto"/>
        <w:tblLook w:val="04A0" w:firstRow="1" w:lastRow="0" w:firstColumn="1" w:lastColumn="0" w:noHBand="0" w:noVBand="1"/>
      </w:tblPr>
      <w:tblGrid>
        <w:gridCol w:w="1134"/>
        <w:gridCol w:w="1129"/>
      </w:tblGrid>
      <w:tr w:rsidR="0093581C" w:rsidRPr="000329D1" w:rsidTr="0093581C">
        <w:trPr>
          <w:trHeight w:val="351"/>
        </w:trPr>
        <w:tc>
          <w:tcPr>
            <w:tcW w:w="1134" w:type="dxa"/>
          </w:tcPr>
          <w:p w:rsidR="0093581C" w:rsidRPr="0093581C" w:rsidRDefault="0093581C" w:rsidP="0093581C">
            <w:pPr>
              <w:jc w:val="center"/>
              <w:rPr>
                <w:rFonts w:ascii="Arial" w:hAnsi="Arial" w:cs="Arial"/>
                <w:sz w:val="14"/>
                <w:szCs w:val="14"/>
              </w:rPr>
            </w:pPr>
          </w:p>
          <w:p w:rsidR="0093581C" w:rsidRPr="0093581C" w:rsidRDefault="0093581C" w:rsidP="0093581C">
            <w:pPr>
              <w:jc w:val="center"/>
              <w:rPr>
                <w:rFonts w:ascii="Arial" w:hAnsi="Arial" w:cs="Arial"/>
                <w:sz w:val="14"/>
                <w:szCs w:val="14"/>
              </w:rPr>
            </w:pPr>
            <w:r w:rsidRPr="0093581C">
              <w:rPr>
                <w:rFonts w:ascii="Arial" w:hAnsi="Arial" w:cs="Arial"/>
                <w:sz w:val="14"/>
                <w:szCs w:val="14"/>
              </w:rPr>
              <w:t>Año</w:t>
            </w:r>
          </w:p>
        </w:tc>
        <w:tc>
          <w:tcPr>
            <w:tcW w:w="1129" w:type="dxa"/>
          </w:tcPr>
          <w:p w:rsidR="0093581C" w:rsidRPr="0093581C" w:rsidRDefault="0093581C" w:rsidP="0093581C">
            <w:pPr>
              <w:jc w:val="center"/>
              <w:rPr>
                <w:rFonts w:ascii="Arial" w:hAnsi="Arial" w:cs="Arial"/>
                <w:sz w:val="14"/>
                <w:szCs w:val="14"/>
              </w:rPr>
            </w:pPr>
          </w:p>
          <w:p w:rsidR="0093581C" w:rsidRPr="0093581C" w:rsidRDefault="0093581C" w:rsidP="0093581C">
            <w:pPr>
              <w:jc w:val="center"/>
              <w:rPr>
                <w:rFonts w:ascii="Arial" w:hAnsi="Arial" w:cs="Arial"/>
                <w:sz w:val="14"/>
                <w:szCs w:val="14"/>
              </w:rPr>
            </w:pPr>
            <w:r w:rsidRPr="0093581C">
              <w:rPr>
                <w:rFonts w:ascii="Arial" w:hAnsi="Arial" w:cs="Arial"/>
                <w:sz w:val="14"/>
                <w:szCs w:val="14"/>
              </w:rPr>
              <w:t>Porcentaje OEFA</w:t>
            </w:r>
          </w:p>
        </w:tc>
      </w:tr>
      <w:tr w:rsidR="0093581C" w:rsidRPr="000329D1" w:rsidTr="0093581C">
        <w:trPr>
          <w:trHeight w:val="164"/>
        </w:trPr>
        <w:tc>
          <w:tcPr>
            <w:tcW w:w="1134" w:type="dxa"/>
          </w:tcPr>
          <w:p w:rsidR="0093581C" w:rsidRPr="0093581C" w:rsidRDefault="0093581C" w:rsidP="0093581C">
            <w:pPr>
              <w:jc w:val="center"/>
              <w:rPr>
                <w:rFonts w:ascii="Arial" w:hAnsi="Arial" w:cs="Arial"/>
                <w:sz w:val="14"/>
                <w:szCs w:val="14"/>
              </w:rPr>
            </w:pPr>
            <w:r w:rsidRPr="0093581C">
              <w:rPr>
                <w:rFonts w:ascii="Arial" w:hAnsi="Arial" w:cs="Arial"/>
                <w:sz w:val="14"/>
                <w:szCs w:val="14"/>
              </w:rPr>
              <w:t>2014</w:t>
            </w:r>
          </w:p>
        </w:tc>
        <w:tc>
          <w:tcPr>
            <w:tcW w:w="1129" w:type="dxa"/>
          </w:tcPr>
          <w:p w:rsidR="0093581C" w:rsidRPr="0093581C" w:rsidRDefault="0093581C" w:rsidP="0093581C">
            <w:pPr>
              <w:jc w:val="center"/>
              <w:rPr>
                <w:rFonts w:ascii="Arial" w:hAnsi="Arial" w:cs="Arial"/>
                <w:sz w:val="14"/>
                <w:szCs w:val="14"/>
              </w:rPr>
            </w:pPr>
            <w:r w:rsidRPr="0093581C">
              <w:rPr>
                <w:rFonts w:ascii="Arial" w:hAnsi="Arial" w:cs="Arial"/>
                <w:sz w:val="14"/>
                <w:szCs w:val="14"/>
              </w:rPr>
              <w:t>0.15</w:t>
            </w:r>
          </w:p>
        </w:tc>
      </w:tr>
      <w:tr w:rsidR="0093581C" w:rsidRPr="000329D1" w:rsidTr="0093581C">
        <w:trPr>
          <w:trHeight w:val="187"/>
        </w:trPr>
        <w:tc>
          <w:tcPr>
            <w:tcW w:w="1134" w:type="dxa"/>
          </w:tcPr>
          <w:p w:rsidR="0093581C" w:rsidRPr="0093581C" w:rsidRDefault="0093581C" w:rsidP="0093581C">
            <w:pPr>
              <w:jc w:val="center"/>
              <w:rPr>
                <w:rFonts w:ascii="Arial" w:hAnsi="Arial" w:cs="Arial"/>
                <w:sz w:val="14"/>
                <w:szCs w:val="14"/>
              </w:rPr>
            </w:pPr>
            <w:r w:rsidRPr="0093581C">
              <w:rPr>
                <w:rFonts w:ascii="Arial" w:hAnsi="Arial" w:cs="Arial"/>
                <w:sz w:val="14"/>
                <w:szCs w:val="14"/>
              </w:rPr>
              <w:t>2015</w:t>
            </w:r>
          </w:p>
        </w:tc>
        <w:tc>
          <w:tcPr>
            <w:tcW w:w="1129" w:type="dxa"/>
          </w:tcPr>
          <w:p w:rsidR="0093581C" w:rsidRPr="0093581C" w:rsidRDefault="0093581C" w:rsidP="0093581C">
            <w:pPr>
              <w:jc w:val="center"/>
              <w:rPr>
                <w:rFonts w:ascii="Arial" w:hAnsi="Arial" w:cs="Arial"/>
                <w:sz w:val="14"/>
                <w:szCs w:val="14"/>
              </w:rPr>
            </w:pPr>
            <w:r w:rsidRPr="0093581C">
              <w:rPr>
                <w:rFonts w:ascii="Arial" w:hAnsi="Arial" w:cs="Arial"/>
                <w:sz w:val="14"/>
                <w:szCs w:val="14"/>
              </w:rPr>
              <w:t>0.15</w:t>
            </w:r>
          </w:p>
        </w:tc>
      </w:tr>
      <w:tr w:rsidR="0093581C" w:rsidRPr="000329D1" w:rsidTr="0093581C">
        <w:trPr>
          <w:trHeight w:val="311"/>
        </w:trPr>
        <w:tc>
          <w:tcPr>
            <w:tcW w:w="1134" w:type="dxa"/>
          </w:tcPr>
          <w:p w:rsidR="0093581C" w:rsidRPr="0093581C" w:rsidRDefault="0093581C" w:rsidP="0093581C">
            <w:pPr>
              <w:jc w:val="center"/>
              <w:rPr>
                <w:rFonts w:ascii="Arial" w:hAnsi="Arial" w:cs="Arial"/>
                <w:sz w:val="14"/>
                <w:szCs w:val="14"/>
              </w:rPr>
            </w:pPr>
            <w:r w:rsidRPr="0093581C">
              <w:rPr>
                <w:rFonts w:ascii="Arial" w:hAnsi="Arial" w:cs="Arial"/>
                <w:sz w:val="14"/>
                <w:szCs w:val="14"/>
              </w:rPr>
              <w:t>2016</w:t>
            </w:r>
          </w:p>
        </w:tc>
        <w:tc>
          <w:tcPr>
            <w:tcW w:w="1129" w:type="dxa"/>
          </w:tcPr>
          <w:p w:rsidR="0093581C" w:rsidRPr="0093581C" w:rsidRDefault="0093581C" w:rsidP="0093581C">
            <w:pPr>
              <w:jc w:val="center"/>
              <w:rPr>
                <w:rFonts w:ascii="Arial" w:hAnsi="Arial" w:cs="Arial"/>
                <w:sz w:val="14"/>
                <w:szCs w:val="14"/>
              </w:rPr>
            </w:pPr>
            <w:r w:rsidRPr="0093581C">
              <w:rPr>
                <w:rFonts w:ascii="Arial" w:hAnsi="Arial" w:cs="Arial"/>
                <w:sz w:val="14"/>
                <w:szCs w:val="14"/>
              </w:rPr>
              <w:t>0.13</w:t>
            </w:r>
          </w:p>
        </w:tc>
      </w:tr>
    </w:tbl>
    <w:p w:rsidR="00CD0E35" w:rsidRPr="000329D1" w:rsidRDefault="00CD0E35" w:rsidP="00CD0E35">
      <w:pPr>
        <w:jc w:val="both"/>
        <w:rPr>
          <w:rFonts w:ascii="Arial" w:eastAsia="Calibri" w:hAnsi="Arial" w:cs="Arial"/>
          <w:sz w:val="21"/>
          <w:szCs w:val="21"/>
        </w:rPr>
      </w:pPr>
    </w:p>
    <w:p w:rsidR="00BF56C5" w:rsidRDefault="00BF56C5" w:rsidP="00CD0E35">
      <w:pPr>
        <w:spacing w:after="0" w:line="240" w:lineRule="auto"/>
        <w:jc w:val="both"/>
        <w:rPr>
          <w:rFonts w:ascii="Arial" w:hAnsi="Arial" w:cs="Arial"/>
          <w:sz w:val="21"/>
          <w:szCs w:val="21"/>
        </w:rPr>
      </w:pPr>
    </w:p>
    <w:p w:rsidR="00774557" w:rsidRDefault="00BF56C5" w:rsidP="00F066FE">
      <w:pPr>
        <w:jc w:val="both"/>
        <w:rPr>
          <w:rFonts w:ascii="Arial" w:hAnsi="Arial" w:cs="Arial"/>
          <w:sz w:val="21"/>
          <w:szCs w:val="21"/>
        </w:rPr>
      </w:pPr>
      <w:r>
        <w:rPr>
          <w:rFonts w:ascii="Arial" w:hAnsi="Arial" w:cs="Arial"/>
          <w:sz w:val="21"/>
          <w:szCs w:val="21"/>
        </w:rPr>
        <w:t>Pero</w:t>
      </w:r>
      <w:r w:rsidR="006D36ED">
        <w:rPr>
          <w:rFonts w:ascii="Arial" w:hAnsi="Arial" w:cs="Arial"/>
          <w:sz w:val="21"/>
          <w:szCs w:val="21"/>
        </w:rPr>
        <w:t xml:space="preserve"> ¿Qué se busca con </w:t>
      </w:r>
      <w:r w:rsidR="006B1D43">
        <w:rPr>
          <w:rFonts w:ascii="Arial" w:hAnsi="Arial" w:cs="Arial"/>
          <w:sz w:val="21"/>
          <w:szCs w:val="21"/>
        </w:rPr>
        <w:t xml:space="preserve">la </w:t>
      </w:r>
      <w:r w:rsidR="0093581C">
        <w:rPr>
          <w:rFonts w:ascii="Arial" w:hAnsi="Arial" w:cs="Arial"/>
          <w:sz w:val="21"/>
          <w:szCs w:val="21"/>
        </w:rPr>
        <w:t>promulgación de dichos Decretos Supremos</w:t>
      </w:r>
      <w:r w:rsidR="006D36ED">
        <w:rPr>
          <w:rFonts w:ascii="Arial" w:hAnsi="Arial" w:cs="Arial"/>
          <w:sz w:val="21"/>
          <w:szCs w:val="21"/>
        </w:rPr>
        <w:t>? ¿</w:t>
      </w:r>
      <w:r w:rsidR="0093581C">
        <w:rPr>
          <w:rFonts w:ascii="Arial" w:hAnsi="Arial" w:cs="Arial"/>
          <w:sz w:val="21"/>
          <w:szCs w:val="21"/>
        </w:rPr>
        <w:t xml:space="preserve">El Aporte por Regulación en verdad está destinado a </w:t>
      </w:r>
      <w:r w:rsidR="006D36ED">
        <w:rPr>
          <w:rFonts w:ascii="Arial" w:hAnsi="Arial" w:cs="Arial"/>
          <w:sz w:val="21"/>
          <w:szCs w:val="21"/>
        </w:rPr>
        <w:t>genera</w:t>
      </w:r>
      <w:r w:rsidR="0093581C">
        <w:rPr>
          <w:rFonts w:ascii="Arial" w:hAnsi="Arial" w:cs="Arial"/>
          <w:sz w:val="21"/>
          <w:szCs w:val="21"/>
        </w:rPr>
        <w:t>r</w:t>
      </w:r>
      <w:r w:rsidR="006D36ED">
        <w:rPr>
          <w:rFonts w:ascii="Arial" w:hAnsi="Arial" w:cs="Arial"/>
          <w:sz w:val="21"/>
          <w:szCs w:val="21"/>
        </w:rPr>
        <w:t xml:space="preserve"> </w:t>
      </w:r>
      <w:r w:rsidR="0093581C">
        <w:rPr>
          <w:rFonts w:ascii="Arial" w:hAnsi="Arial" w:cs="Arial"/>
          <w:sz w:val="21"/>
          <w:szCs w:val="21"/>
        </w:rPr>
        <w:t>el tan ansiado des</w:t>
      </w:r>
      <w:r w:rsidR="00774557">
        <w:rPr>
          <w:rFonts w:ascii="Arial" w:hAnsi="Arial" w:cs="Arial"/>
          <w:sz w:val="21"/>
          <w:szCs w:val="21"/>
        </w:rPr>
        <w:t xml:space="preserve">arrollo sostenible?, pues bien, </w:t>
      </w:r>
      <w:r w:rsidR="006D36ED">
        <w:rPr>
          <w:rFonts w:ascii="Arial" w:hAnsi="Arial" w:cs="Arial"/>
          <w:sz w:val="21"/>
          <w:szCs w:val="21"/>
        </w:rPr>
        <w:t xml:space="preserve">el </w:t>
      </w:r>
      <w:r>
        <w:rPr>
          <w:rFonts w:ascii="Arial" w:hAnsi="Arial" w:cs="Arial"/>
          <w:sz w:val="21"/>
          <w:szCs w:val="21"/>
        </w:rPr>
        <w:t>macro proceso</w:t>
      </w:r>
      <w:r w:rsidR="00CD0E35" w:rsidRPr="001279D1">
        <w:rPr>
          <w:rFonts w:ascii="Arial" w:hAnsi="Arial" w:cs="Arial"/>
          <w:sz w:val="21"/>
          <w:szCs w:val="21"/>
        </w:rPr>
        <w:t xml:space="preserve"> </w:t>
      </w:r>
      <w:r w:rsidR="006D36ED">
        <w:rPr>
          <w:rFonts w:ascii="Arial" w:hAnsi="Arial" w:cs="Arial"/>
          <w:sz w:val="21"/>
          <w:szCs w:val="21"/>
        </w:rPr>
        <w:t xml:space="preserve">de fiscalización ambiental busca </w:t>
      </w:r>
      <w:r w:rsidR="00774557">
        <w:rPr>
          <w:rFonts w:ascii="Arial" w:hAnsi="Arial" w:cs="Arial"/>
          <w:sz w:val="21"/>
          <w:szCs w:val="21"/>
        </w:rPr>
        <w:t>que</w:t>
      </w:r>
      <w:r w:rsidR="006D36ED">
        <w:rPr>
          <w:rFonts w:ascii="Arial" w:hAnsi="Arial" w:cs="Arial"/>
          <w:sz w:val="21"/>
          <w:szCs w:val="21"/>
        </w:rPr>
        <w:t xml:space="preserve"> las</w:t>
      </w:r>
      <w:r w:rsidR="00CD0E35" w:rsidRPr="001279D1">
        <w:rPr>
          <w:rFonts w:ascii="Arial" w:hAnsi="Arial" w:cs="Arial"/>
          <w:sz w:val="21"/>
          <w:szCs w:val="21"/>
        </w:rPr>
        <w:t xml:space="preserve"> funciones de evaluación, supervisión, fiscalización y sanción</w:t>
      </w:r>
      <w:r w:rsidR="006D36ED">
        <w:rPr>
          <w:rFonts w:ascii="Arial" w:hAnsi="Arial" w:cs="Arial"/>
          <w:sz w:val="21"/>
          <w:szCs w:val="21"/>
        </w:rPr>
        <w:t xml:space="preserve">, </w:t>
      </w:r>
      <w:r w:rsidR="00774557">
        <w:rPr>
          <w:rFonts w:ascii="Arial" w:hAnsi="Arial" w:cs="Arial"/>
          <w:sz w:val="21"/>
          <w:szCs w:val="21"/>
        </w:rPr>
        <w:t>esté</w:t>
      </w:r>
      <w:r w:rsidR="006D36ED">
        <w:rPr>
          <w:rFonts w:ascii="Arial" w:hAnsi="Arial" w:cs="Arial"/>
          <w:sz w:val="21"/>
          <w:szCs w:val="21"/>
        </w:rPr>
        <w:t>n</w:t>
      </w:r>
      <w:r w:rsidR="00CD0E35" w:rsidRPr="001279D1">
        <w:rPr>
          <w:rFonts w:ascii="Arial" w:hAnsi="Arial" w:cs="Arial"/>
          <w:sz w:val="21"/>
          <w:szCs w:val="21"/>
        </w:rPr>
        <w:t xml:space="preserve"> destinadas a asegurar el cumplimiento de las obligaciones ambientales fiscalizables establecidas en la legislación ambiental, así como de </w:t>
      </w:r>
      <w:r w:rsidR="00CD0E35" w:rsidRPr="001279D1">
        <w:rPr>
          <w:rFonts w:ascii="Arial" w:hAnsi="Arial" w:cs="Arial"/>
          <w:sz w:val="21"/>
          <w:szCs w:val="21"/>
        </w:rPr>
        <w:lastRenderedPageBreak/>
        <w:t>los compromisos derivados de los instrumentos de gestión ambiental y de los mandatos o disposiciones emitidos por el OEFA</w:t>
      </w:r>
      <w:r w:rsidR="00CD0E35">
        <w:rPr>
          <w:rFonts w:ascii="Arial" w:hAnsi="Arial" w:cs="Arial"/>
          <w:sz w:val="21"/>
          <w:szCs w:val="21"/>
        </w:rPr>
        <w:t>,</w:t>
      </w:r>
      <w:r w:rsidR="00CD0E35" w:rsidRPr="001279D1">
        <w:rPr>
          <w:rFonts w:ascii="Arial" w:hAnsi="Arial" w:cs="Arial"/>
          <w:sz w:val="21"/>
          <w:szCs w:val="21"/>
        </w:rPr>
        <w:t xml:space="preserve"> en concordancia con las infracciones tipificadas y la potestad sancionadora.</w:t>
      </w:r>
      <w:r w:rsidR="00CD0E35" w:rsidRPr="001279D1">
        <w:rPr>
          <w:rStyle w:val="Refdenotaalpie"/>
          <w:rFonts w:ascii="Arial" w:hAnsi="Arial" w:cs="Arial"/>
          <w:sz w:val="21"/>
          <w:szCs w:val="21"/>
        </w:rPr>
        <w:footnoteReference w:id="6"/>
      </w:r>
      <w:r w:rsidR="00CD0E35" w:rsidRPr="001279D1">
        <w:rPr>
          <w:rFonts w:ascii="Arial" w:hAnsi="Arial" w:cs="Arial"/>
          <w:sz w:val="21"/>
          <w:szCs w:val="21"/>
        </w:rPr>
        <w:t xml:space="preserve"> </w:t>
      </w:r>
    </w:p>
    <w:p w:rsidR="00774557" w:rsidRDefault="00F066FE" w:rsidP="00F066FE">
      <w:pPr>
        <w:jc w:val="both"/>
        <w:rPr>
          <w:rFonts w:ascii="Arial" w:eastAsia="Calibri" w:hAnsi="Arial" w:cs="Arial"/>
          <w:sz w:val="21"/>
          <w:szCs w:val="21"/>
        </w:rPr>
      </w:pPr>
      <w:r>
        <w:rPr>
          <w:rFonts w:ascii="Arial" w:eastAsia="Calibri" w:hAnsi="Arial" w:cs="Arial"/>
          <w:sz w:val="21"/>
          <w:szCs w:val="21"/>
        </w:rPr>
        <w:t>En el ejercicio de su función normativa</w:t>
      </w:r>
      <w:r>
        <w:rPr>
          <w:rStyle w:val="Refdenotaalpie"/>
          <w:rFonts w:ascii="Arial" w:eastAsia="Calibri" w:hAnsi="Arial" w:cs="Arial"/>
          <w:sz w:val="21"/>
          <w:szCs w:val="21"/>
        </w:rPr>
        <w:footnoteReference w:id="7"/>
      </w:r>
      <w:r w:rsidR="00774557">
        <w:rPr>
          <w:rFonts w:ascii="Arial" w:eastAsia="Calibri" w:hAnsi="Arial" w:cs="Arial"/>
          <w:sz w:val="21"/>
          <w:szCs w:val="21"/>
        </w:rPr>
        <w:t xml:space="preserve"> y en concordancia con los mencionados Decretos Supremos</w:t>
      </w:r>
      <w:r>
        <w:rPr>
          <w:rFonts w:ascii="Arial" w:eastAsia="Calibri" w:hAnsi="Arial" w:cs="Arial"/>
          <w:sz w:val="21"/>
          <w:szCs w:val="21"/>
        </w:rPr>
        <w:t>, el OEFA, promulgó una norma que tiene por objeto regular el procedimiento de recaudación y co</w:t>
      </w:r>
      <w:r w:rsidR="00774557">
        <w:rPr>
          <w:rFonts w:ascii="Arial" w:eastAsia="Calibri" w:hAnsi="Arial" w:cs="Arial"/>
          <w:sz w:val="21"/>
          <w:szCs w:val="21"/>
        </w:rPr>
        <w:t>ntrol del Aporte por Regulación, el mismo que e</w:t>
      </w:r>
      <w:r>
        <w:rPr>
          <w:rFonts w:ascii="Arial" w:eastAsia="Calibri" w:hAnsi="Arial" w:cs="Arial"/>
          <w:sz w:val="21"/>
          <w:szCs w:val="21"/>
        </w:rPr>
        <w:t>s aplicable a todos los sujetos obligados al pago de dicho aporte</w:t>
      </w:r>
      <w:r>
        <w:rPr>
          <w:rStyle w:val="Refdenotaalpie"/>
          <w:rFonts w:ascii="Arial" w:eastAsia="Calibri" w:hAnsi="Arial" w:cs="Arial"/>
          <w:sz w:val="21"/>
          <w:szCs w:val="21"/>
        </w:rPr>
        <w:footnoteReference w:id="8"/>
      </w:r>
      <w:r>
        <w:rPr>
          <w:rFonts w:ascii="Arial" w:eastAsia="Calibri" w:hAnsi="Arial" w:cs="Arial"/>
          <w:sz w:val="21"/>
          <w:szCs w:val="21"/>
        </w:rPr>
        <w:t xml:space="preserve">, </w:t>
      </w:r>
      <w:r w:rsidR="00774557">
        <w:rPr>
          <w:rFonts w:ascii="Arial" w:eastAsia="Calibri" w:hAnsi="Arial" w:cs="Arial"/>
          <w:sz w:val="21"/>
          <w:szCs w:val="21"/>
        </w:rPr>
        <w:t>esta</w:t>
      </w:r>
      <w:r>
        <w:rPr>
          <w:rFonts w:ascii="Arial" w:eastAsia="Calibri" w:hAnsi="Arial" w:cs="Arial"/>
          <w:sz w:val="21"/>
          <w:szCs w:val="21"/>
        </w:rPr>
        <w:t xml:space="preserve"> norma </w:t>
      </w:r>
      <w:r w:rsidR="00CD0E35" w:rsidRPr="001279D1">
        <w:rPr>
          <w:rFonts w:ascii="Arial" w:eastAsia="Calibri" w:hAnsi="Arial" w:cs="Arial"/>
          <w:sz w:val="21"/>
          <w:szCs w:val="21"/>
        </w:rPr>
        <w:t xml:space="preserve">tiene por finalidad asegurar el cumplimiento de la legislación ambiental por parte de las personas naturales y jurídicas </w:t>
      </w:r>
      <w:r w:rsidR="00CD0E35">
        <w:rPr>
          <w:rFonts w:ascii="Arial" w:eastAsia="Calibri" w:hAnsi="Arial" w:cs="Arial"/>
          <w:sz w:val="21"/>
          <w:szCs w:val="21"/>
        </w:rPr>
        <w:t>que realizan actividades en los</w:t>
      </w:r>
      <w:r w:rsidR="00CD0E35" w:rsidRPr="001279D1">
        <w:rPr>
          <w:rFonts w:ascii="Arial" w:eastAsia="Calibri" w:hAnsi="Arial" w:cs="Arial"/>
          <w:sz w:val="21"/>
          <w:szCs w:val="21"/>
        </w:rPr>
        <w:t xml:space="preserve"> sectores energía y minería, a través de</w:t>
      </w:r>
      <w:r w:rsidR="00CD0E35">
        <w:rPr>
          <w:rFonts w:ascii="Arial" w:eastAsia="Calibri" w:hAnsi="Arial" w:cs="Arial"/>
          <w:sz w:val="21"/>
          <w:szCs w:val="21"/>
        </w:rPr>
        <w:t xml:space="preserve"> la</w:t>
      </w:r>
      <w:r w:rsidR="00CD0E35" w:rsidRPr="001279D1">
        <w:rPr>
          <w:rFonts w:ascii="Arial" w:eastAsia="Calibri" w:hAnsi="Arial" w:cs="Arial"/>
          <w:sz w:val="21"/>
          <w:szCs w:val="21"/>
        </w:rPr>
        <w:t xml:space="preserve"> </w:t>
      </w:r>
      <w:r w:rsidR="00CD0E35">
        <w:rPr>
          <w:rFonts w:ascii="Arial" w:eastAsia="Calibri" w:hAnsi="Arial" w:cs="Arial"/>
          <w:sz w:val="21"/>
          <w:szCs w:val="21"/>
        </w:rPr>
        <w:t>ejecución de</w:t>
      </w:r>
      <w:r w:rsidR="00CD0E35" w:rsidRPr="001279D1">
        <w:rPr>
          <w:rFonts w:ascii="Arial" w:eastAsia="Calibri" w:hAnsi="Arial" w:cs="Arial"/>
          <w:sz w:val="21"/>
          <w:szCs w:val="21"/>
        </w:rPr>
        <w:t xml:space="preserve"> los proces</w:t>
      </w:r>
      <w:r w:rsidR="00CD0E35">
        <w:rPr>
          <w:rFonts w:ascii="Arial" w:eastAsia="Calibri" w:hAnsi="Arial" w:cs="Arial"/>
          <w:sz w:val="21"/>
          <w:szCs w:val="21"/>
        </w:rPr>
        <w:t xml:space="preserve">os de supervisión, evaluación, </w:t>
      </w:r>
      <w:r w:rsidR="00CD0E35" w:rsidRPr="001279D1">
        <w:rPr>
          <w:rFonts w:ascii="Arial" w:eastAsia="Calibri" w:hAnsi="Arial" w:cs="Arial"/>
          <w:sz w:val="21"/>
          <w:szCs w:val="21"/>
        </w:rPr>
        <w:t>fiscalización y trámite de los procedimientos administrativos sancionadores</w:t>
      </w:r>
      <w:r w:rsidR="00774557">
        <w:rPr>
          <w:rFonts w:ascii="Arial" w:eastAsia="Calibri" w:hAnsi="Arial" w:cs="Arial"/>
          <w:sz w:val="21"/>
          <w:szCs w:val="21"/>
        </w:rPr>
        <w:t>, por lo que</w:t>
      </w:r>
      <w:r w:rsidR="006D36ED">
        <w:rPr>
          <w:rFonts w:ascii="Arial" w:eastAsia="Calibri" w:hAnsi="Arial" w:cs="Arial"/>
          <w:sz w:val="21"/>
          <w:szCs w:val="21"/>
        </w:rPr>
        <w:t xml:space="preserve"> </w:t>
      </w:r>
      <w:r w:rsidR="00774557">
        <w:rPr>
          <w:rFonts w:ascii="Arial" w:eastAsia="Calibri" w:hAnsi="Arial" w:cs="Arial"/>
          <w:sz w:val="21"/>
          <w:szCs w:val="21"/>
        </w:rPr>
        <w:t>la “fiscalización” en materia de energía y minería desarrollada por el OEFA debe ser financiada con cargo al aporte por regulación, por lo que se cumpliría la nueva óptica de la fiscalización ambiental, la cual está direccionada al macro proceso el cual busca alcanzar un real y concreto desarrollo sostenible.</w:t>
      </w:r>
    </w:p>
    <w:p w:rsidR="000746D7" w:rsidRDefault="00774557" w:rsidP="000746D7">
      <w:pPr>
        <w:jc w:val="both"/>
        <w:rPr>
          <w:rFonts w:ascii="Arial" w:hAnsi="Arial" w:cs="Arial"/>
          <w:sz w:val="21"/>
          <w:szCs w:val="21"/>
        </w:rPr>
      </w:pPr>
      <w:r>
        <w:rPr>
          <w:rFonts w:ascii="Arial" w:hAnsi="Arial" w:cs="Arial"/>
          <w:sz w:val="21"/>
          <w:szCs w:val="21"/>
        </w:rPr>
        <w:t>Po</w:t>
      </w:r>
      <w:r w:rsidR="003D3953">
        <w:rPr>
          <w:rFonts w:ascii="Arial" w:hAnsi="Arial" w:cs="Arial"/>
          <w:sz w:val="21"/>
          <w:szCs w:val="21"/>
        </w:rPr>
        <w:t>r</w:t>
      </w:r>
      <w:r>
        <w:rPr>
          <w:rFonts w:ascii="Arial" w:hAnsi="Arial" w:cs="Arial"/>
          <w:sz w:val="21"/>
          <w:szCs w:val="21"/>
        </w:rPr>
        <w:t xml:space="preserve"> último, h</w:t>
      </w:r>
      <w:r w:rsidR="000746D7" w:rsidRPr="001F209C">
        <w:rPr>
          <w:rFonts w:ascii="Arial" w:hAnsi="Arial" w:cs="Arial"/>
          <w:sz w:val="21"/>
          <w:szCs w:val="21"/>
        </w:rPr>
        <w:t>ab</w:t>
      </w:r>
      <w:r w:rsidR="000746D7">
        <w:rPr>
          <w:rFonts w:ascii="Arial" w:hAnsi="Arial" w:cs="Arial"/>
          <w:sz w:val="21"/>
          <w:szCs w:val="21"/>
        </w:rPr>
        <w:t xml:space="preserve">lar de regulación es hablar que </w:t>
      </w:r>
      <w:r w:rsidR="000746D7" w:rsidRPr="001F209C">
        <w:rPr>
          <w:rFonts w:ascii="Arial" w:hAnsi="Arial" w:cs="Arial"/>
          <w:sz w:val="21"/>
          <w:szCs w:val="21"/>
        </w:rPr>
        <w:t>el Estado se encuentra en la obligación de crear mecanismos eficientes y responsables de protección del medio ambiente. Si bien es cierto que la fiscalización ambiental busca prevenir, sancionar y</w:t>
      </w:r>
      <w:r w:rsidR="000746D7">
        <w:rPr>
          <w:rFonts w:ascii="Arial" w:hAnsi="Arial" w:cs="Arial"/>
          <w:sz w:val="21"/>
          <w:szCs w:val="21"/>
        </w:rPr>
        <w:t xml:space="preserve"> remediar los daños al ambiente, </w:t>
      </w:r>
      <w:r w:rsidR="000746D7" w:rsidRPr="001F209C">
        <w:rPr>
          <w:rFonts w:ascii="Arial" w:hAnsi="Arial" w:cs="Arial"/>
          <w:sz w:val="21"/>
          <w:szCs w:val="21"/>
        </w:rPr>
        <w:t xml:space="preserve">también </w:t>
      </w:r>
      <w:r w:rsidR="000746D7">
        <w:rPr>
          <w:rFonts w:ascii="Arial" w:hAnsi="Arial" w:cs="Arial"/>
          <w:sz w:val="21"/>
          <w:szCs w:val="21"/>
        </w:rPr>
        <w:t xml:space="preserve">tiene como finalidad </w:t>
      </w:r>
      <w:r w:rsidR="000746D7" w:rsidRPr="001F209C">
        <w:rPr>
          <w:rFonts w:ascii="Arial" w:hAnsi="Arial" w:cs="Arial"/>
          <w:sz w:val="21"/>
          <w:szCs w:val="21"/>
        </w:rPr>
        <w:t xml:space="preserve">que las empresas desarrollen actividades económicas </w:t>
      </w:r>
      <w:r w:rsidR="000746D7" w:rsidRPr="00FA0EE4">
        <w:rPr>
          <w:rFonts w:ascii="Arial" w:hAnsi="Arial" w:cs="Arial"/>
          <w:sz w:val="21"/>
          <w:szCs w:val="21"/>
        </w:rPr>
        <w:t xml:space="preserve">y además cumplir el mandato constitucional de vivir en un ambiente sano, lo cual nos lleva a lograr </w:t>
      </w:r>
      <w:r w:rsidR="000746D7">
        <w:rPr>
          <w:rFonts w:ascii="Arial" w:hAnsi="Arial" w:cs="Arial"/>
          <w:sz w:val="21"/>
          <w:szCs w:val="21"/>
        </w:rPr>
        <w:t xml:space="preserve">el tan ansiado </w:t>
      </w:r>
      <w:r w:rsidR="000746D7" w:rsidRPr="00FA0EE4">
        <w:rPr>
          <w:rFonts w:ascii="Arial" w:hAnsi="Arial" w:cs="Arial"/>
          <w:sz w:val="21"/>
          <w:szCs w:val="21"/>
        </w:rPr>
        <w:t>desarrollo sostenible</w:t>
      </w:r>
      <w:r w:rsidR="000746D7">
        <w:rPr>
          <w:rFonts w:ascii="Arial" w:hAnsi="Arial" w:cs="Arial"/>
          <w:sz w:val="21"/>
          <w:szCs w:val="21"/>
        </w:rPr>
        <w:t xml:space="preserve">, esperemos que las contribuciones </w:t>
      </w:r>
      <w:r>
        <w:rPr>
          <w:rFonts w:ascii="Arial" w:hAnsi="Arial" w:cs="Arial"/>
          <w:sz w:val="21"/>
          <w:szCs w:val="21"/>
        </w:rPr>
        <w:t>que el OEFA obtiene gracias al aporte por r</w:t>
      </w:r>
      <w:r w:rsidR="000746D7">
        <w:rPr>
          <w:rFonts w:ascii="Arial" w:hAnsi="Arial" w:cs="Arial"/>
          <w:sz w:val="21"/>
          <w:szCs w:val="21"/>
        </w:rPr>
        <w:t>egulación, sirvan para cumplir uno de los fines del Estado</w:t>
      </w:r>
      <w:r w:rsidR="00BB5592">
        <w:rPr>
          <w:rFonts w:ascii="Arial" w:hAnsi="Arial" w:cs="Arial"/>
          <w:sz w:val="21"/>
          <w:szCs w:val="21"/>
        </w:rPr>
        <w:t>, que es el cuidado del medio ambiente.</w:t>
      </w:r>
    </w:p>
    <w:p w:rsidR="00D84ADA" w:rsidRDefault="00D84ADA" w:rsidP="00D84ADA">
      <w:pPr>
        <w:jc w:val="right"/>
        <w:rPr>
          <w:rFonts w:ascii="Arial" w:hAnsi="Arial" w:cs="Arial"/>
          <w:sz w:val="21"/>
          <w:szCs w:val="21"/>
        </w:rPr>
      </w:pPr>
    </w:p>
    <w:p w:rsidR="00D84ADA" w:rsidRDefault="00D84ADA" w:rsidP="00D84ADA">
      <w:pPr>
        <w:jc w:val="right"/>
        <w:rPr>
          <w:rFonts w:ascii="Arial" w:hAnsi="Arial" w:cs="Arial"/>
          <w:sz w:val="21"/>
          <w:szCs w:val="21"/>
        </w:rPr>
      </w:pPr>
    </w:p>
    <w:sectPr w:rsidR="00D84AD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D25" w:rsidRDefault="009E2D25" w:rsidP="009C4118">
      <w:pPr>
        <w:spacing w:after="0" w:line="240" w:lineRule="auto"/>
      </w:pPr>
      <w:r>
        <w:separator/>
      </w:r>
    </w:p>
  </w:endnote>
  <w:endnote w:type="continuationSeparator" w:id="0">
    <w:p w:rsidR="009E2D25" w:rsidRDefault="009E2D25" w:rsidP="009C4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D25" w:rsidRDefault="009E2D25" w:rsidP="009C4118">
      <w:pPr>
        <w:spacing w:after="0" w:line="240" w:lineRule="auto"/>
      </w:pPr>
      <w:r>
        <w:separator/>
      </w:r>
    </w:p>
  </w:footnote>
  <w:footnote w:type="continuationSeparator" w:id="0">
    <w:p w:rsidR="009E2D25" w:rsidRDefault="009E2D25" w:rsidP="009C4118">
      <w:pPr>
        <w:spacing w:after="0" w:line="240" w:lineRule="auto"/>
      </w:pPr>
      <w:r>
        <w:continuationSeparator/>
      </w:r>
    </w:p>
  </w:footnote>
  <w:footnote w:id="1">
    <w:p w:rsidR="00A208B4" w:rsidRPr="00994969" w:rsidRDefault="00A208B4" w:rsidP="00192222">
      <w:pPr>
        <w:spacing w:after="0" w:line="240" w:lineRule="auto"/>
        <w:jc w:val="both"/>
        <w:rPr>
          <w:rFonts w:ascii="Arial" w:hAnsi="Arial" w:cs="Arial"/>
          <w:i/>
          <w:sz w:val="16"/>
          <w:szCs w:val="16"/>
        </w:rPr>
      </w:pPr>
      <w:r w:rsidRPr="00994969">
        <w:rPr>
          <w:rStyle w:val="Refdenotaalpie"/>
          <w:rFonts w:ascii="Arial" w:hAnsi="Arial" w:cs="Arial"/>
          <w:sz w:val="16"/>
          <w:szCs w:val="16"/>
        </w:rPr>
        <w:footnoteRef/>
      </w:r>
      <w:r w:rsidRPr="00994969">
        <w:rPr>
          <w:rFonts w:ascii="Arial" w:hAnsi="Arial" w:cs="Arial"/>
          <w:sz w:val="16"/>
          <w:szCs w:val="16"/>
        </w:rPr>
        <w:t xml:space="preserve"> </w:t>
      </w:r>
      <w:r w:rsidR="00192222" w:rsidRPr="00994969">
        <w:rPr>
          <w:rFonts w:ascii="Arial" w:hAnsi="Arial" w:cs="Arial"/>
          <w:i/>
          <w:sz w:val="16"/>
          <w:szCs w:val="16"/>
        </w:rPr>
        <w:t>Mediante la Segunda Disposición Complementaria Final del Decreto Legislativo No 101 3 - Decreto Legislativo que aprueba la Ley de Creación, Organización y Funciones del Ministerio del Ambiente se crea el Organismo de Evaluación y Fiscalización Ambiental (en adelante, el OEFA) como Organismo Público Técnico Especializado. con personería jurídica de derecho público interno, constituyéndose en pliego presupuestal, adscrito al Ministerio del Ambiente y encargado de las funciones de fiscalización, supervisión, control y sanción en materia ambiental.</w:t>
      </w:r>
    </w:p>
  </w:footnote>
  <w:footnote w:id="2">
    <w:p w:rsidR="000E176E" w:rsidRPr="00994969" w:rsidRDefault="000E176E" w:rsidP="0093581C">
      <w:pPr>
        <w:spacing w:after="0" w:line="240" w:lineRule="auto"/>
        <w:jc w:val="both"/>
        <w:rPr>
          <w:rFonts w:ascii="Arial" w:hAnsi="Arial" w:cs="Arial"/>
          <w:sz w:val="16"/>
          <w:szCs w:val="16"/>
        </w:rPr>
      </w:pPr>
      <w:r w:rsidRPr="00994969">
        <w:rPr>
          <w:rStyle w:val="Refdenotaalpie"/>
          <w:rFonts w:ascii="Arial" w:hAnsi="Arial" w:cs="Arial"/>
          <w:sz w:val="16"/>
          <w:szCs w:val="16"/>
        </w:rPr>
        <w:footnoteRef/>
      </w:r>
      <w:r w:rsidRPr="00994969">
        <w:rPr>
          <w:rFonts w:ascii="Arial" w:hAnsi="Arial" w:cs="Arial"/>
          <w:sz w:val="16"/>
          <w:szCs w:val="16"/>
        </w:rPr>
        <w:t xml:space="preserve"> </w:t>
      </w:r>
      <w:r w:rsidRPr="00994969">
        <w:rPr>
          <w:rFonts w:ascii="Arial" w:hAnsi="Arial" w:cs="Arial"/>
          <w:i/>
          <w:sz w:val="16"/>
          <w:szCs w:val="16"/>
        </w:rPr>
        <w:t>La Ley N° 27699, Ley Complementaria de Fortalecimiento Institucional del Organismo Supervisor de la Inversión en Energía y Minería - OSINERGMIN, precisa en su Artículo 7° que el Aporte por Regulación tiene naturaleza contributiva. En ese orden de ideas, los recursos obtenidos por dichos aportes, son propios del OEFA y tienen por finalidad financiar la supervisión y fiscalización ambiental de las actividades de energía y minería.</w:t>
      </w:r>
    </w:p>
  </w:footnote>
  <w:footnote w:id="3">
    <w:p w:rsidR="0064509A" w:rsidRPr="00994969" w:rsidRDefault="0064509A" w:rsidP="0093581C">
      <w:pPr>
        <w:spacing w:after="0" w:line="240" w:lineRule="auto"/>
        <w:ind w:left="567" w:hanging="567"/>
        <w:jc w:val="both"/>
        <w:rPr>
          <w:rFonts w:ascii="Arial" w:hAnsi="Arial" w:cs="Arial"/>
          <w:b/>
          <w:sz w:val="16"/>
          <w:szCs w:val="16"/>
        </w:rPr>
      </w:pPr>
      <w:r w:rsidRPr="00994969">
        <w:rPr>
          <w:rStyle w:val="Refdenotaalpie"/>
          <w:rFonts w:ascii="Arial" w:hAnsi="Arial" w:cs="Arial"/>
          <w:sz w:val="16"/>
          <w:szCs w:val="16"/>
        </w:rPr>
        <w:footnoteRef/>
      </w:r>
      <w:r w:rsidRPr="00994969">
        <w:rPr>
          <w:rFonts w:ascii="Arial" w:hAnsi="Arial" w:cs="Arial"/>
          <w:sz w:val="16"/>
          <w:szCs w:val="16"/>
        </w:rPr>
        <w:t xml:space="preserve"> </w:t>
      </w:r>
      <w:r w:rsidRPr="00994969">
        <w:rPr>
          <w:rFonts w:ascii="Arial" w:hAnsi="Arial" w:cs="Arial"/>
          <w:b/>
          <w:sz w:val="16"/>
          <w:szCs w:val="16"/>
        </w:rPr>
        <w:t>Ley N° 29951 – Ley de Presupuesto del Sector Público para el Año Fiscal 2013.-</w:t>
      </w:r>
    </w:p>
    <w:p w:rsidR="0064509A" w:rsidRPr="00994969" w:rsidRDefault="0064509A" w:rsidP="0093581C">
      <w:pPr>
        <w:spacing w:after="0" w:line="240" w:lineRule="auto"/>
        <w:jc w:val="both"/>
        <w:rPr>
          <w:rFonts w:ascii="Arial" w:hAnsi="Arial" w:cs="Arial"/>
          <w:sz w:val="16"/>
          <w:szCs w:val="16"/>
        </w:rPr>
      </w:pPr>
      <w:r w:rsidRPr="00994969">
        <w:rPr>
          <w:rFonts w:ascii="Arial" w:hAnsi="Arial" w:cs="Arial"/>
          <w:sz w:val="16"/>
          <w:szCs w:val="16"/>
        </w:rPr>
        <w:t>“</w:t>
      </w:r>
      <w:r w:rsidRPr="00994969">
        <w:rPr>
          <w:rFonts w:ascii="Arial" w:hAnsi="Arial" w:cs="Arial"/>
          <w:b/>
          <w:i/>
          <w:sz w:val="16"/>
          <w:szCs w:val="16"/>
        </w:rPr>
        <w:t>Disposiciones Complementarias Final</w:t>
      </w:r>
      <w:r w:rsidRPr="00994969">
        <w:rPr>
          <w:rFonts w:ascii="Arial" w:hAnsi="Arial" w:cs="Arial"/>
          <w:sz w:val="16"/>
          <w:szCs w:val="16"/>
        </w:rPr>
        <w:t>es</w:t>
      </w:r>
    </w:p>
    <w:p w:rsidR="0064509A" w:rsidRPr="00994969" w:rsidRDefault="0064509A" w:rsidP="0093581C">
      <w:pPr>
        <w:spacing w:after="0" w:line="240" w:lineRule="auto"/>
        <w:jc w:val="both"/>
        <w:rPr>
          <w:rFonts w:ascii="Arial" w:hAnsi="Arial" w:cs="Arial"/>
          <w:b/>
          <w:i/>
          <w:sz w:val="16"/>
          <w:szCs w:val="16"/>
        </w:rPr>
      </w:pPr>
      <w:r w:rsidRPr="00994969">
        <w:rPr>
          <w:rFonts w:ascii="Arial" w:hAnsi="Arial" w:cs="Arial"/>
          <w:b/>
          <w:i/>
          <w:sz w:val="16"/>
          <w:szCs w:val="16"/>
        </w:rPr>
        <w:t>(…)</w:t>
      </w:r>
    </w:p>
    <w:p w:rsidR="0064509A" w:rsidRPr="00994969" w:rsidRDefault="0064509A" w:rsidP="0064509A">
      <w:pPr>
        <w:spacing w:after="0" w:line="240" w:lineRule="auto"/>
        <w:jc w:val="both"/>
        <w:rPr>
          <w:rFonts w:ascii="Arial" w:hAnsi="Arial" w:cs="Arial"/>
          <w:sz w:val="16"/>
          <w:szCs w:val="16"/>
        </w:rPr>
      </w:pPr>
      <w:r w:rsidRPr="00994969">
        <w:rPr>
          <w:rFonts w:ascii="Arial" w:hAnsi="Arial" w:cs="Arial"/>
          <w:b/>
          <w:i/>
          <w:sz w:val="16"/>
          <w:szCs w:val="16"/>
        </w:rPr>
        <w:t xml:space="preserve">Cuadragésima Octava </w:t>
      </w:r>
      <w:r w:rsidRPr="00994969">
        <w:rPr>
          <w:rFonts w:ascii="Arial" w:hAnsi="Arial" w:cs="Arial"/>
          <w:sz w:val="16"/>
          <w:szCs w:val="16"/>
        </w:rPr>
        <w:t xml:space="preserve"> </w:t>
      </w:r>
    </w:p>
    <w:p w:rsidR="0064509A" w:rsidRPr="00994969" w:rsidRDefault="0064509A" w:rsidP="0064509A">
      <w:pPr>
        <w:spacing w:after="0" w:line="240" w:lineRule="auto"/>
        <w:jc w:val="both"/>
        <w:rPr>
          <w:rFonts w:ascii="Arial" w:hAnsi="Arial" w:cs="Arial"/>
          <w:sz w:val="16"/>
          <w:szCs w:val="16"/>
        </w:rPr>
      </w:pPr>
      <w:r w:rsidRPr="00994969">
        <w:rPr>
          <w:rFonts w:ascii="Arial" w:hAnsi="Arial" w:cs="Arial"/>
          <w:i/>
          <w:sz w:val="16"/>
          <w:szCs w:val="16"/>
        </w:rPr>
        <w:t>A partir de la vigencia de la presente ley, las funciones de supervisión y fiscalización en materia ambiental, relacionadas a las actividades de energía y minería que desarrolla el Organismo de Evaluación y Fiscalización Ambiental (OEFA) se financian con cargo al aporte por regulación a que se refiere el artículo 10 de la Ley 27332, Ley Marco de los Organismos Reguladores de la Inversión Privada en los Servicios Públicos, que financia las actividades de supervisión y fiscalización del Organismo Supervisor de la Inversión en Energía y Minería (OSINERGMIN).</w:t>
      </w:r>
    </w:p>
    <w:p w:rsidR="0064509A" w:rsidRPr="00994969" w:rsidRDefault="0064509A" w:rsidP="0064509A">
      <w:pPr>
        <w:pStyle w:val="NormalWeb"/>
        <w:spacing w:before="0" w:beforeAutospacing="0" w:after="0" w:afterAutospacing="0"/>
        <w:jc w:val="both"/>
        <w:rPr>
          <w:rFonts w:ascii="Arial" w:hAnsi="Arial" w:cs="Arial"/>
          <w:sz w:val="16"/>
          <w:szCs w:val="16"/>
        </w:rPr>
      </w:pPr>
      <w:r w:rsidRPr="00994969">
        <w:rPr>
          <w:rFonts w:ascii="Arial" w:hAnsi="Arial" w:cs="Arial"/>
          <w:i/>
          <w:sz w:val="16"/>
          <w:szCs w:val="16"/>
        </w:rPr>
        <w:t>Para tal efecto, mediante decreto supremo refrendado por el Presidente del Consejo de Ministros, el Ministro del Ambiente y el Ministro de Energía y Minas, se determina el porcentaje que corresponde al Organismo de Evaluación y Fiscalización Ambiental (OEFA) del aporte por regulación al que se refiere el párrafo precedente, constituyendo dichos recursos ingresos propios de esta entidad, los cuales serán incorporados al presupuesto institucional del OEFA conforme al artículo 42° de la Ley 28411, Ley General del Sistema Nacional de Presupuesto, en la fuente de financiamiento Recursos Directamente Recaudados.</w:t>
      </w:r>
      <w:r w:rsidRPr="00994969">
        <w:rPr>
          <w:rFonts w:ascii="Arial" w:hAnsi="Arial" w:cs="Arial"/>
          <w:sz w:val="16"/>
          <w:szCs w:val="16"/>
        </w:rPr>
        <w:t>”</w:t>
      </w:r>
    </w:p>
  </w:footnote>
  <w:footnote w:id="4">
    <w:p w:rsidR="0064509A" w:rsidRPr="00994969" w:rsidRDefault="0064509A" w:rsidP="0064509A">
      <w:pPr>
        <w:spacing w:after="0" w:line="240" w:lineRule="auto"/>
        <w:jc w:val="both"/>
        <w:rPr>
          <w:rFonts w:ascii="Arial" w:hAnsi="Arial" w:cs="Arial"/>
          <w:b/>
          <w:sz w:val="16"/>
          <w:szCs w:val="16"/>
        </w:rPr>
      </w:pPr>
      <w:r w:rsidRPr="00994969">
        <w:rPr>
          <w:rStyle w:val="Refdenotaalpie"/>
          <w:rFonts w:ascii="Arial" w:hAnsi="Arial" w:cs="Arial"/>
          <w:sz w:val="16"/>
          <w:szCs w:val="16"/>
        </w:rPr>
        <w:footnoteRef/>
      </w:r>
      <w:r w:rsidRPr="00994969">
        <w:rPr>
          <w:rFonts w:ascii="Arial" w:hAnsi="Arial" w:cs="Arial"/>
          <w:sz w:val="16"/>
          <w:szCs w:val="16"/>
        </w:rPr>
        <w:t xml:space="preserve"> </w:t>
      </w:r>
      <w:r w:rsidRPr="00994969">
        <w:rPr>
          <w:rFonts w:ascii="Arial" w:hAnsi="Arial" w:cs="Arial"/>
          <w:b/>
          <w:sz w:val="16"/>
          <w:szCs w:val="16"/>
        </w:rPr>
        <w:t xml:space="preserve">Ley N° 30011 – </w:t>
      </w:r>
      <w:r w:rsidRPr="00994969">
        <w:rPr>
          <w:rFonts w:ascii="Arial" w:eastAsia="Calibri" w:hAnsi="Arial" w:cs="Arial"/>
          <w:b/>
          <w:color w:val="000000"/>
          <w:sz w:val="16"/>
          <w:szCs w:val="16"/>
        </w:rPr>
        <w:t>Ley que modifica la Ley N° 29325, Ley del Sistema Nacional de Evaluación y Fiscalización de Ambiental.-</w:t>
      </w:r>
    </w:p>
    <w:p w:rsidR="0064509A" w:rsidRPr="00994969" w:rsidRDefault="0064509A" w:rsidP="0064509A">
      <w:pPr>
        <w:spacing w:after="0" w:line="240" w:lineRule="auto"/>
        <w:jc w:val="both"/>
        <w:rPr>
          <w:rFonts w:ascii="Arial" w:hAnsi="Arial" w:cs="Arial"/>
          <w:b/>
          <w:i/>
          <w:sz w:val="16"/>
          <w:szCs w:val="16"/>
        </w:rPr>
      </w:pPr>
      <w:r w:rsidRPr="00994969">
        <w:rPr>
          <w:rFonts w:ascii="Arial" w:hAnsi="Arial" w:cs="Arial"/>
          <w:b/>
          <w:i/>
          <w:sz w:val="16"/>
          <w:szCs w:val="16"/>
        </w:rPr>
        <w:t>“Disposiciones Complementarias Finales</w:t>
      </w:r>
    </w:p>
    <w:p w:rsidR="0064509A" w:rsidRPr="00994969" w:rsidRDefault="0064509A" w:rsidP="0064509A">
      <w:pPr>
        <w:spacing w:after="0" w:line="240" w:lineRule="auto"/>
        <w:jc w:val="both"/>
        <w:rPr>
          <w:rFonts w:ascii="Arial" w:hAnsi="Arial" w:cs="Arial"/>
          <w:b/>
          <w:i/>
          <w:sz w:val="16"/>
          <w:szCs w:val="16"/>
        </w:rPr>
      </w:pPr>
      <w:r w:rsidRPr="00994969">
        <w:rPr>
          <w:rFonts w:ascii="Arial" w:hAnsi="Arial" w:cs="Arial"/>
          <w:b/>
          <w:i/>
          <w:sz w:val="16"/>
          <w:szCs w:val="16"/>
        </w:rPr>
        <w:t>(…)</w:t>
      </w:r>
    </w:p>
    <w:p w:rsidR="0064509A" w:rsidRPr="00994969" w:rsidRDefault="0064509A" w:rsidP="0093581C">
      <w:pPr>
        <w:spacing w:after="0" w:line="240" w:lineRule="auto"/>
        <w:jc w:val="both"/>
        <w:rPr>
          <w:rFonts w:ascii="Arial" w:hAnsi="Arial" w:cs="Arial"/>
          <w:sz w:val="16"/>
          <w:szCs w:val="16"/>
        </w:rPr>
      </w:pPr>
      <w:r w:rsidRPr="00994969">
        <w:rPr>
          <w:rFonts w:ascii="Arial" w:hAnsi="Arial" w:cs="Arial"/>
          <w:b/>
          <w:i/>
          <w:sz w:val="16"/>
          <w:szCs w:val="16"/>
        </w:rPr>
        <w:t>Tercera:</w:t>
      </w:r>
      <w:r w:rsidRPr="00994969">
        <w:rPr>
          <w:rFonts w:ascii="Arial" w:hAnsi="Arial" w:cs="Arial"/>
          <w:i/>
          <w:sz w:val="16"/>
          <w:szCs w:val="16"/>
        </w:rPr>
        <w:t xml:space="preserve"> Las funciones de fiscalización en materia ambiental relacionadas con las actividades de energía y minería que desarrolla el Organismo de Evaluación y Fiscalización Ambiental (OEFA) se financian con cargo al aporte por regulación establecido en la cuadragésima octava disposición complementaria final de la Ley 29951, Ley de Presupuesto del Sector Público para el Año Fiscal 2013. Dichos recursos constituyen ingresos propios </w:t>
      </w:r>
      <w:r w:rsidRPr="00184A39">
        <w:rPr>
          <w:rFonts w:ascii="Arial" w:hAnsi="Arial" w:cs="Arial"/>
          <w:i/>
          <w:sz w:val="18"/>
          <w:szCs w:val="18"/>
        </w:rPr>
        <w:t xml:space="preserve">de esta entidad, los cuales son </w:t>
      </w:r>
      <w:r w:rsidRPr="00994969">
        <w:rPr>
          <w:rFonts w:ascii="Arial" w:hAnsi="Arial" w:cs="Arial"/>
          <w:i/>
          <w:sz w:val="16"/>
          <w:szCs w:val="16"/>
        </w:rPr>
        <w:t>incorporados al presupuesto institucional del OEFA conforme al artículo 42° de la Ley 28411, Ley General del Sistema Nacional de Presupuesto, en la fuente de financiamiento Recursos Directamente Recaudados.</w:t>
      </w:r>
      <w:r w:rsidRPr="00994969">
        <w:rPr>
          <w:rFonts w:ascii="Arial" w:hAnsi="Arial" w:cs="Arial"/>
          <w:sz w:val="16"/>
          <w:szCs w:val="16"/>
        </w:rPr>
        <w:t>”</w:t>
      </w:r>
    </w:p>
  </w:footnote>
  <w:footnote w:id="5">
    <w:p w:rsidR="0064509A" w:rsidRPr="00994969" w:rsidRDefault="0064509A" w:rsidP="0064509A">
      <w:pPr>
        <w:pStyle w:val="Textonotapie"/>
        <w:jc w:val="both"/>
        <w:rPr>
          <w:rFonts w:ascii="Arial" w:hAnsi="Arial" w:cs="Arial"/>
          <w:b/>
          <w:bCs/>
          <w:sz w:val="16"/>
          <w:szCs w:val="16"/>
        </w:rPr>
      </w:pPr>
      <w:r w:rsidRPr="00994969">
        <w:rPr>
          <w:rStyle w:val="Refdenotaalpie"/>
          <w:rFonts w:ascii="Arial" w:hAnsi="Arial" w:cs="Arial"/>
          <w:sz w:val="16"/>
          <w:szCs w:val="16"/>
        </w:rPr>
        <w:footnoteRef/>
      </w:r>
      <w:r w:rsidRPr="00994969">
        <w:rPr>
          <w:rFonts w:ascii="Arial" w:hAnsi="Arial" w:cs="Arial"/>
          <w:sz w:val="16"/>
          <w:szCs w:val="16"/>
        </w:rPr>
        <w:t xml:space="preserve"> </w:t>
      </w:r>
      <w:r w:rsidRPr="00994969">
        <w:rPr>
          <w:rFonts w:ascii="Arial" w:hAnsi="Arial" w:cs="Arial"/>
          <w:b/>
          <w:sz w:val="16"/>
          <w:szCs w:val="16"/>
        </w:rPr>
        <w:t>Ley N° 27332 –</w:t>
      </w:r>
      <w:r w:rsidRPr="00994969">
        <w:rPr>
          <w:rFonts w:ascii="Arial" w:hAnsi="Arial" w:cs="Arial"/>
          <w:b/>
          <w:bCs/>
          <w:sz w:val="16"/>
          <w:szCs w:val="16"/>
        </w:rPr>
        <w:t xml:space="preserve"> Ley Marco de los Organismos Reguladores de la Inversión Privada en los Servicios Públicos.-</w:t>
      </w:r>
    </w:p>
    <w:p w:rsidR="0064509A" w:rsidRPr="00994969" w:rsidRDefault="00994969" w:rsidP="006B1D43">
      <w:pPr>
        <w:pStyle w:val="Textonotapie"/>
        <w:jc w:val="both"/>
        <w:rPr>
          <w:rFonts w:ascii="Arial" w:hAnsi="Arial" w:cs="Arial"/>
          <w:sz w:val="16"/>
          <w:szCs w:val="16"/>
        </w:rPr>
      </w:pPr>
      <w:r w:rsidRPr="00994969">
        <w:rPr>
          <w:rFonts w:ascii="Arial" w:hAnsi="Arial" w:cs="Arial"/>
          <w:i/>
          <w:sz w:val="16"/>
          <w:szCs w:val="16"/>
        </w:rPr>
        <w:t xml:space="preserve"> </w:t>
      </w:r>
      <w:r w:rsidR="0064509A" w:rsidRPr="00994969">
        <w:rPr>
          <w:rFonts w:ascii="Arial" w:hAnsi="Arial" w:cs="Arial"/>
          <w:i/>
          <w:sz w:val="16"/>
          <w:szCs w:val="16"/>
        </w:rPr>
        <w:t>“</w:t>
      </w:r>
      <w:r w:rsidR="0064509A" w:rsidRPr="00994969">
        <w:rPr>
          <w:rFonts w:ascii="Arial" w:hAnsi="Arial" w:cs="Arial"/>
          <w:b/>
          <w:bCs/>
          <w:i/>
          <w:sz w:val="16"/>
          <w:szCs w:val="16"/>
        </w:rPr>
        <w:t xml:space="preserve">Artículo 10°.- Aporte por regulación.- </w:t>
      </w:r>
      <w:r w:rsidR="0064509A" w:rsidRPr="00994969">
        <w:rPr>
          <w:rFonts w:ascii="Arial" w:hAnsi="Arial" w:cs="Arial"/>
          <w:i/>
          <w:sz w:val="16"/>
          <w:szCs w:val="16"/>
        </w:rPr>
        <w:t>Los Organismos Reguladores recaudarán de las empresas y entidades bajo su ámbito, un aporte por regulación, el cual no podrá exceder del 1% (uno por ciento) del valor de la facturación anual, deducido el Impuesto General a las Ventas y el Impuesto de Promoción Municipal, de las empresas bajo su ámbito. Este aporte será fijado, en cada caso, mediante decreto supremo aprobado por el Consejo de Ministros, refrendado por el Presidente del Consejo de Ministros y el Ministro de Economía y Finanzas.”</w:t>
      </w:r>
    </w:p>
  </w:footnote>
  <w:footnote w:id="6">
    <w:p w:rsidR="00CD0E35" w:rsidRPr="00A25D72" w:rsidRDefault="00CD0E35" w:rsidP="006D36ED">
      <w:pPr>
        <w:pStyle w:val="Textonotapie"/>
        <w:jc w:val="both"/>
        <w:rPr>
          <w:rFonts w:ascii="Arial" w:hAnsi="Arial" w:cs="Arial"/>
          <w:sz w:val="16"/>
          <w:szCs w:val="16"/>
        </w:rPr>
      </w:pPr>
      <w:r w:rsidRPr="00A25D72">
        <w:rPr>
          <w:rStyle w:val="Refdenotaalpie"/>
          <w:rFonts w:ascii="Arial" w:hAnsi="Arial" w:cs="Arial"/>
          <w:sz w:val="16"/>
          <w:szCs w:val="16"/>
        </w:rPr>
        <w:footnoteRef/>
      </w:r>
      <w:r w:rsidRPr="00A25D72">
        <w:rPr>
          <w:rFonts w:ascii="Arial" w:hAnsi="Arial" w:cs="Arial"/>
          <w:sz w:val="16"/>
          <w:szCs w:val="16"/>
        </w:rPr>
        <w:t xml:space="preserve"> Numeral 11.1 del Artículo 11° de la Ley N° 29325 modificada por la Ley N°30011.</w:t>
      </w:r>
    </w:p>
  </w:footnote>
  <w:footnote w:id="7">
    <w:p w:rsidR="00F066FE" w:rsidRPr="00A25D72" w:rsidRDefault="00F066FE" w:rsidP="00F066FE">
      <w:pPr>
        <w:pStyle w:val="Textonotapie"/>
        <w:jc w:val="both"/>
        <w:rPr>
          <w:rFonts w:ascii="Arial" w:hAnsi="Arial" w:cs="Arial"/>
          <w:sz w:val="16"/>
          <w:szCs w:val="16"/>
        </w:rPr>
      </w:pPr>
      <w:r w:rsidRPr="00A25D72">
        <w:rPr>
          <w:rStyle w:val="Refdenotaalpie"/>
          <w:rFonts w:ascii="Arial" w:hAnsi="Arial" w:cs="Arial"/>
          <w:sz w:val="16"/>
          <w:szCs w:val="16"/>
        </w:rPr>
        <w:footnoteRef/>
      </w:r>
      <w:r w:rsidRPr="00A25D72">
        <w:rPr>
          <w:rFonts w:ascii="Arial" w:hAnsi="Arial" w:cs="Arial"/>
          <w:sz w:val="16"/>
          <w:szCs w:val="16"/>
        </w:rPr>
        <w:t xml:space="preserve"> Mediante Resolución de Consejo Directivo N° 009-2014-OEFA/CD, del 29 de enero de 2014 se aprobó el Procedimiento de Recaudación y Control del Aporte por Regulación del Organismo de Evaluación y Fiscalización Ambiental - OEFA.</w:t>
      </w:r>
    </w:p>
  </w:footnote>
  <w:footnote w:id="8">
    <w:p w:rsidR="00F066FE" w:rsidRPr="00A25D72" w:rsidRDefault="00F066FE" w:rsidP="00F066FE">
      <w:pPr>
        <w:jc w:val="both"/>
        <w:rPr>
          <w:rFonts w:ascii="Arial" w:eastAsia="Calibri" w:hAnsi="Arial" w:cs="Arial"/>
          <w:sz w:val="16"/>
          <w:szCs w:val="16"/>
        </w:rPr>
      </w:pPr>
      <w:r w:rsidRPr="00A25D72">
        <w:rPr>
          <w:rStyle w:val="Refdenotaalpie"/>
          <w:sz w:val="16"/>
          <w:szCs w:val="16"/>
        </w:rPr>
        <w:footnoteRef/>
      </w:r>
      <w:r>
        <w:t xml:space="preserve"> </w:t>
      </w:r>
      <w:r w:rsidRPr="00A25D72">
        <w:rPr>
          <w:rFonts w:ascii="Arial" w:hAnsi="Arial" w:cs="Arial"/>
          <w:sz w:val="16"/>
          <w:szCs w:val="16"/>
        </w:rPr>
        <w:t xml:space="preserve">De conformidad con los </w:t>
      </w:r>
      <w:r w:rsidRPr="00A25D72">
        <w:rPr>
          <w:rFonts w:ascii="Arial" w:eastAsia="Calibri" w:hAnsi="Arial" w:cs="Arial"/>
          <w:sz w:val="16"/>
          <w:szCs w:val="16"/>
        </w:rPr>
        <w:t xml:space="preserve">Decretos Supremos </w:t>
      </w:r>
      <w:r w:rsidRPr="00A25D72">
        <w:rPr>
          <w:rFonts w:ascii="Arial" w:hAnsi="Arial" w:cs="Arial"/>
          <w:noProof/>
          <w:sz w:val="16"/>
          <w:szCs w:val="16"/>
        </w:rPr>
        <w:t>N° 129-2013-PCM y 130-2013-PCM respectivamente.</w:t>
      </w:r>
    </w:p>
    <w:p w:rsidR="00F066FE" w:rsidRDefault="00F066FE" w:rsidP="00F066FE">
      <w:pPr>
        <w:pStyle w:val="Textonotapi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037A3"/>
    <w:multiLevelType w:val="hybridMultilevel"/>
    <w:tmpl w:val="72DE2C66"/>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
    <w:nsid w:val="37E4634A"/>
    <w:multiLevelType w:val="hybridMultilevel"/>
    <w:tmpl w:val="5BB48B04"/>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44825F2C"/>
    <w:multiLevelType w:val="hybridMultilevel"/>
    <w:tmpl w:val="0A40983A"/>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7B4D0577"/>
    <w:multiLevelType w:val="hybridMultilevel"/>
    <w:tmpl w:val="8C8C73C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24C"/>
    <w:rsid w:val="00064672"/>
    <w:rsid w:val="000746D7"/>
    <w:rsid w:val="000B7750"/>
    <w:rsid w:val="000D0DEA"/>
    <w:rsid w:val="000D439E"/>
    <w:rsid w:val="000E176E"/>
    <w:rsid w:val="00171C52"/>
    <w:rsid w:val="00192222"/>
    <w:rsid w:val="001F209C"/>
    <w:rsid w:val="0023463B"/>
    <w:rsid w:val="00325833"/>
    <w:rsid w:val="003319EA"/>
    <w:rsid w:val="003D3953"/>
    <w:rsid w:val="00425F94"/>
    <w:rsid w:val="00486C47"/>
    <w:rsid w:val="00486CA3"/>
    <w:rsid w:val="004B4D0F"/>
    <w:rsid w:val="004D3EB8"/>
    <w:rsid w:val="00505A11"/>
    <w:rsid w:val="00585082"/>
    <w:rsid w:val="005D7EC6"/>
    <w:rsid w:val="005E28E7"/>
    <w:rsid w:val="00604D60"/>
    <w:rsid w:val="00606318"/>
    <w:rsid w:val="006121CE"/>
    <w:rsid w:val="00644511"/>
    <w:rsid w:val="0064509A"/>
    <w:rsid w:val="006B1D43"/>
    <w:rsid w:val="006D36ED"/>
    <w:rsid w:val="006E73FA"/>
    <w:rsid w:val="007152C8"/>
    <w:rsid w:val="00774557"/>
    <w:rsid w:val="00790218"/>
    <w:rsid w:val="007F6899"/>
    <w:rsid w:val="008144DA"/>
    <w:rsid w:val="008A224C"/>
    <w:rsid w:val="008E6149"/>
    <w:rsid w:val="0091399D"/>
    <w:rsid w:val="0093581C"/>
    <w:rsid w:val="00994969"/>
    <w:rsid w:val="009C4118"/>
    <w:rsid w:val="009C728E"/>
    <w:rsid w:val="009E2D25"/>
    <w:rsid w:val="00A128CB"/>
    <w:rsid w:val="00A208B4"/>
    <w:rsid w:val="00A223B2"/>
    <w:rsid w:val="00A25D72"/>
    <w:rsid w:val="00A35E40"/>
    <w:rsid w:val="00B342BB"/>
    <w:rsid w:val="00B52377"/>
    <w:rsid w:val="00B95CD9"/>
    <w:rsid w:val="00BA69B3"/>
    <w:rsid w:val="00BB14E1"/>
    <w:rsid w:val="00BB5592"/>
    <w:rsid w:val="00BF56C5"/>
    <w:rsid w:val="00CD0E35"/>
    <w:rsid w:val="00D84ADA"/>
    <w:rsid w:val="00E73412"/>
    <w:rsid w:val="00EF3AFB"/>
    <w:rsid w:val="00EF47CB"/>
    <w:rsid w:val="00F066FE"/>
    <w:rsid w:val="00F24038"/>
    <w:rsid w:val="00FB29E4"/>
    <w:rsid w:val="00FD218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D0E35"/>
    <w:pPr>
      <w:keepNext/>
      <w:keepLines/>
      <w:spacing w:before="480" w:after="0" w:line="276" w:lineRule="auto"/>
      <w:outlineLvl w:val="0"/>
    </w:pPr>
    <w:rPr>
      <w:rFonts w:ascii="Cambria" w:eastAsia="Times New Roman" w:hAnsi="Cambria" w:cs="Times New Roman"/>
      <w:b/>
      <w:bCs/>
      <w:color w:val="365F91"/>
      <w:sz w:val="28"/>
      <w:szCs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 Car Car Car, Car Car, Car Car Car Car Car Car, Car Car Car Car,Texto nota pie Car Car,Car,Car2,Car Car Car Car Car Car Car Car Car Car Car Car Car Car,Car Car Car Car Car Car Car Car Car Car Car Car Car Car Car Car Car,Car9,Car Car Car"/>
    <w:basedOn w:val="Normal"/>
    <w:link w:val="TextonotapieCar"/>
    <w:uiPriority w:val="99"/>
    <w:unhideWhenUsed/>
    <w:rsid w:val="009C4118"/>
    <w:pPr>
      <w:spacing w:after="0" w:line="240" w:lineRule="auto"/>
    </w:pPr>
    <w:rPr>
      <w:sz w:val="20"/>
      <w:szCs w:val="20"/>
    </w:rPr>
  </w:style>
  <w:style w:type="character" w:customStyle="1" w:styleId="TextonotapieCar">
    <w:name w:val="Texto nota pie Car"/>
    <w:aliases w:val=" Car Car Car Car1, Car Car Car1, Car Car Car Car Car Car Car, Car Car Car Car Car,Texto nota pie Car Car Car,Car Car,Car2 Car,Car Car Car Car Car Car Car Car Car Car Car Car Car Car Car,Car9 Car,Car Car Car Car"/>
    <w:basedOn w:val="Fuentedeprrafopredeter"/>
    <w:link w:val="Textonotapie"/>
    <w:uiPriority w:val="99"/>
    <w:rsid w:val="009C4118"/>
    <w:rPr>
      <w:sz w:val="20"/>
      <w:szCs w:val="20"/>
    </w:rPr>
  </w:style>
  <w:style w:type="character" w:styleId="Refdenotaalpie">
    <w:name w:val="footnote reference"/>
    <w:aliases w:val="Ref,de nota al pie,FC,ftref,16 Point,Superscript 6 Point,Texto de nota al pie,Appel note de bas de page,Footnotes refss,Footnote number,referencia nota al pie,BVI fnr,f,4_G,Texto nota al pie,Footnote Reference Char3"/>
    <w:basedOn w:val="Fuentedeprrafopredeter"/>
    <w:uiPriority w:val="99"/>
    <w:unhideWhenUsed/>
    <w:rsid w:val="009C4118"/>
    <w:rPr>
      <w:vertAlign w:val="superscript"/>
    </w:rPr>
  </w:style>
  <w:style w:type="paragraph" w:styleId="Prrafodelista">
    <w:name w:val="List Paragraph"/>
    <w:basedOn w:val="Normal"/>
    <w:uiPriority w:val="34"/>
    <w:qFormat/>
    <w:rsid w:val="009C4118"/>
    <w:pPr>
      <w:ind w:left="720"/>
      <w:contextualSpacing/>
    </w:pPr>
  </w:style>
  <w:style w:type="paragraph" w:styleId="NormalWeb">
    <w:name w:val="Normal (Web)"/>
    <w:basedOn w:val="Normal"/>
    <w:uiPriority w:val="99"/>
    <w:rsid w:val="0064509A"/>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character" w:customStyle="1" w:styleId="Ttulo1Car">
    <w:name w:val="Título 1 Car"/>
    <w:basedOn w:val="Fuentedeprrafopredeter"/>
    <w:link w:val="Ttulo1"/>
    <w:uiPriority w:val="9"/>
    <w:rsid w:val="00CD0E35"/>
    <w:rPr>
      <w:rFonts w:ascii="Cambria" w:eastAsia="Times New Roman" w:hAnsi="Cambria" w:cs="Times New Roman"/>
      <w:b/>
      <w:bCs/>
      <w:color w:val="365F91"/>
      <w:sz w:val="28"/>
      <w:szCs w:val="28"/>
      <w:lang w:val="es-ES_tradnl"/>
    </w:rPr>
  </w:style>
  <w:style w:type="table" w:styleId="Tablaconcuadrcula">
    <w:name w:val="Table Grid"/>
    <w:basedOn w:val="Tablanormal"/>
    <w:uiPriority w:val="59"/>
    <w:rsid w:val="00CD0E35"/>
    <w:pPr>
      <w:spacing w:after="0" w:line="240" w:lineRule="auto"/>
    </w:pPr>
    <w:rPr>
      <w:rFonts w:ascii="Calibri" w:eastAsia="Calibri" w:hAnsi="Calibri"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anormal"/>
    <w:uiPriority w:val="40"/>
    <w:rsid w:val="00CD0E35"/>
    <w:pPr>
      <w:spacing w:after="0" w:line="240" w:lineRule="auto"/>
    </w:pPr>
    <w:rPr>
      <w:rFonts w:ascii="Calibri" w:eastAsia="Calibri" w:hAnsi="Calibri" w:cs="Times New Roman"/>
      <w:sz w:val="20"/>
      <w:szCs w:val="20"/>
      <w:lang w:eastAsia="es-PE"/>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D0E35"/>
    <w:pPr>
      <w:keepNext/>
      <w:keepLines/>
      <w:spacing w:before="480" w:after="0" w:line="276" w:lineRule="auto"/>
      <w:outlineLvl w:val="0"/>
    </w:pPr>
    <w:rPr>
      <w:rFonts w:ascii="Cambria" w:eastAsia="Times New Roman" w:hAnsi="Cambria" w:cs="Times New Roman"/>
      <w:b/>
      <w:bCs/>
      <w:color w:val="365F91"/>
      <w:sz w:val="28"/>
      <w:szCs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 Car Car Car, Car Car, Car Car Car Car Car Car, Car Car Car Car,Texto nota pie Car Car,Car,Car2,Car Car Car Car Car Car Car Car Car Car Car Car Car Car,Car Car Car Car Car Car Car Car Car Car Car Car Car Car Car Car Car,Car9,Car Car Car"/>
    <w:basedOn w:val="Normal"/>
    <w:link w:val="TextonotapieCar"/>
    <w:uiPriority w:val="99"/>
    <w:unhideWhenUsed/>
    <w:rsid w:val="009C4118"/>
    <w:pPr>
      <w:spacing w:after="0" w:line="240" w:lineRule="auto"/>
    </w:pPr>
    <w:rPr>
      <w:sz w:val="20"/>
      <w:szCs w:val="20"/>
    </w:rPr>
  </w:style>
  <w:style w:type="character" w:customStyle="1" w:styleId="TextonotapieCar">
    <w:name w:val="Texto nota pie Car"/>
    <w:aliases w:val=" Car Car Car Car1, Car Car Car1, Car Car Car Car Car Car Car, Car Car Car Car Car,Texto nota pie Car Car Car,Car Car,Car2 Car,Car Car Car Car Car Car Car Car Car Car Car Car Car Car Car,Car9 Car,Car Car Car Car"/>
    <w:basedOn w:val="Fuentedeprrafopredeter"/>
    <w:link w:val="Textonotapie"/>
    <w:uiPriority w:val="99"/>
    <w:rsid w:val="009C4118"/>
    <w:rPr>
      <w:sz w:val="20"/>
      <w:szCs w:val="20"/>
    </w:rPr>
  </w:style>
  <w:style w:type="character" w:styleId="Refdenotaalpie">
    <w:name w:val="footnote reference"/>
    <w:aliases w:val="Ref,de nota al pie,FC,ftref,16 Point,Superscript 6 Point,Texto de nota al pie,Appel note de bas de page,Footnotes refss,Footnote number,referencia nota al pie,BVI fnr,f,4_G,Texto nota al pie,Footnote Reference Char3"/>
    <w:basedOn w:val="Fuentedeprrafopredeter"/>
    <w:uiPriority w:val="99"/>
    <w:unhideWhenUsed/>
    <w:rsid w:val="009C4118"/>
    <w:rPr>
      <w:vertAlign w:val="superscript"/>
    </w:rPr>
  </w:style>
  <w:style w:type="paragraph" w:styleId="Prrafodelista">
    <w:name w:val="List Paragraph"/>
    <w:basedOn w:val="Normal"/>
    <w:uiPriority w:val="34"/>
    <w:qFormat/>
    <w:rsid w:val="009C4118"/>
    <w:pPr>
      <w:ind w:left="720"/>
      <w:contextualSpacing/>
    </w:pPr>
  </w:style>
  <w:style w:type="paragraph" w:styleId="NormalWeb">
    <w:name w:val="Normal (Web)"/>
    <w:basedOn w:val="Normal"/>
    <w:uiPriority w:val="99"/>
    <w:rsid w:val="0064509A"/>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character" w:customStyle="1" w:styleId="Ttulo1Car">
    <w:name w:val="Título 1 Car"/>
    <w:basedOn w:val="Fuentedeprrafopredeter"/>
    <w:link w:val="Ttulo1"/>
    <w:uiPriority w:val="9"/>
    <w:rsid w:val="00CD0E35"/>
    <w:rPr>
      <w:rFonts w:ascii="Cambria" w:eastAsia="Times New Roman" w:hAnsi="Cambria" w:cs="Times New Roman"/>
      <w:b/>
      <w:bCs/>
      <w:color w:val="365F91"/>
      <w:sz w:val="28"/>
      <w:szCs w:val="28"/>
      <w:lang w:val="es-ES_tradnl"/>
    </w:rPr>
  </w:style>
  <w:style w:type="table" w:styleId="Tablaconcuadrcula">
    <w:name w:val="Table Grid"/>
    <w:basedOn w:val="Tablanormal"/>
    <w:uiPriority w:val="59"/>
    <w:rsid w:val="00CD0E35"/>
    <w:pPr>
      <w:spacing w:after="0" w:line="240" w:lineRule="auto"/>
    </w:pPr>
    <w:rPr>
      <w:rFonts w:ascii="Calibri" w:eastAsia="Calibri" w:hAnsi="Calibri"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anormal"/>
    <w:uiPriority w:val="40"/>
    <w:rsid w:val="00CD0E35"/>
    <w:pPr>
      <w:spacing w:after="0" w:line="240" w:lineRule="auto"/>
    </w:pPr>
    <w:rPr>
      <w:rFonts w:ascii="Calibri" w:eastAsia="Calibri" w:hAnsi="Calibri" w:cs="Times New Roman"/>
      <w:sz w:val="20"/>
      <w:szCs w:val="20"/>
      <w:lang w:eastAsia="es-PE"/>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1CA09-02DF-4DD3-A2E9-EAD519ED9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833</Words>
  <Characters>4582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Andrea Royle Sansoni</dc:creator>
  <cp:lastModifiedBy>User</cp:lastModifiedBy>
  <cp:revision>2</cp:revision>
  <dcterms:created xsi:type="dcterms:W3CDTF">2014-05-05T20:51:00Z</dcterms:created>
  <dcterms:modified xsi:type="dcterms:W3CDTF">2014-05-05T20:51:00Z</dcterms:modified>
</cp:coreProperties>
</file>